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D41562" w14:textId="5F313463"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AE3743">
        <w:t>9</w:t>
      </w:r>
      <w:r w:rsidR="0035491B">
        <w:t>9</w:t>
      </w:r>
      <w:r w:rsidR="00873DB0">
        <w:t>bis</w:t>
      </w:r>
      <w:r w:rsidRPr="00CE0424">
        <w:tab/>
      </w:r>
      <w:r w:rsidRPr="00CE0424">
        <w:rPr>
          <w:sz w:val="32"/>
          <w:szCs w:val="32"/>
        </w:rPr>
        <w:t xml:space="preserve">Tdoc </w:t>
      </w:r>
      <w:r w:rsidR="00091557" w:rsidRPr="00CE0424">
        <w:rPr>
          <w:sz w:val="32"/>
          <w:szCs w:val="32"/>
        </w:rPr>
        <w:t>R2-</w:t>
      </w:r>
      <w:r w:rsidR="005F3025" w:rsidRPr="00CE0424">
        <w:rPr>
          <w:sz w:val="32"/>
          <w:szCs w:val="32"/>
        </w:rPr>
        <w:t>1</w:t>
      </w:r>
      <w:r w:rsidR="000039F4">
        <w:rPr>
          <w:sz w:val="32"/>
          <w:szCs w:val="32"/>
        </w:rPr>
        <w:t>7</w:t>
      </w:r>
      <w:r w:rsidR="003E7E24">
        <w:rPr>
          <w:sz w:val="32"/>
          <w:szCs w:val="32"/>
        </w:rPr>
        <w:t>11173</w:t>
      </w:r>
    </w:p>
    <w:p w14:paraId="1145177D" w14:textId="77777777" w:rsidR="00E90E49" w:rsidRPr="00CE0424" w:rsidRDefault="00873DB0" w:rsidP="00311702">
      <w:pPr>
        <w:pStyle w:val="3GPPHeader"/>
      </w:pPr>
      <w:r>
        <w:t>Prague</w:t>
      </w:r>
      <w:r w:rsidRPr="00631CA0">
        <w:t xml:space="preserve">, </w:t>
      </w:r>
      <w:r>
        <w:t>Czech Republic, 9</w:t>
      </w:r>
      <w:r w:rsidRPr="004E432D">
        <w:rPr>
          <w:vertAlign w:val="superscript"/>
        </w:rPr>
        <w:t>th</w:t>
      </w:r>
      <w:r>
        <w:t xml:space="preserve"> </w:t>
      </w:r>
      <w:r w:rsidRPr="00631CA0">
        <w:t xml:space="preserve">– </w:t>
      </w:r>
      <w:r>
        <w:t>13</w:t>
      </w:r>
      <w:r w:rsidRPr="00631CA0">
        <w:rPr>
          <w:vertAlign w:val="superscript"/>
        </w:rPr>
        <w:t>th</w:t>
      </w:r>
      <w:r>
        <w:t xml:space="preserve"> October </w:t>
      </w:r>
      <w:r w:rsidRPr="00631CA0">
        <w:t>2017</w:t>
      </w:r>
    </w:p>
    <w:p w14:paraId="22A2C372" w14:textId="77777777" w:rsidR="00E90E49" w:rsidRPr="00CE0424" w:rsidRDefault="00E90E49" w:rsidP="00357380">
      <w:pPr>
        <w:pStyle w:val="3GPPHeader"/>
      </w:pPr>
    </w:p>
    <w:p w14:paraId="5930A642" w14:textId="3AF3A2DB" w:rsidR="00E90E49" w:rsidRPr="003E7E24" w:rsidRDefault="00E90E49" w:rsidP="00311702">
      <w:pPr>
        <w:pStyle w:val="3GPPHeader"/>
        <w:rPr>
          <w:sz w:val="22"/>
          <w:szCs w:val="22"/>
          <w:lang w:val="en-US"/>
        </w:rPr>
      </w:pPr>
      <w:r w:rsidRPr="003E7E24">
        <w:rPr>
          <w:sz w:val="22"/>
          <w:szCs w:val="22"/>
          <w:lang w:val="en-US"/>
        </w:rPr>
        <w:t>Agenda Item:</w:t>
      </w:r>
      <w:r w:rsidRPr="003E7E24">
        <w:rPr>
          <w:sz w:val="22"/>
          <w:szCs w:val="22"/>
          <w:lang w:val="en-US"/>
        </w:rPr>
        <w:tab/>
      </w:r>
      <w:r w:rsidR="00A469F7" w:rsidRPr="003E7E24">
        <w:rPr>
          <w:sz w:val="22"/>
          <w:szCs w:val="22"/>
          <w:lang w:val="en-US"/>
        </w:rPr>
        <w:t>10.3.1.4.3</w:t>
      </w:r>
    </w:p>
    <w:p w14:paraId="3A671482"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F8A9399" w14:textId="631A9734" w:rsidR="00E90E49" w:rsidRPr="00CE0424" w:rsidRDefault="003D3C45" w:rsidP="00311702">
      <w:pPr>
        <w:pStyle w:val="3GPPHeader"/>
        <w:rPr>
          <w:sz w:val="22"/>
          <w:szCs w:val="22"/>
        </w:rPr>
      </w:pPr>
      <w:r>
        <w:rPr>
          <w:sz w:val="22"/>
          <w:szCs w:val="22"/>
        </w:rPr>
        <w:t>Title:</w:t>
      </w:r>
      <w:r w:rsidR="00E90E49" w:rsidRPr="00CE0424">
        <w:rPr>
          <w:sz w:val="22"/>
          <w:szCs w:val="22"/>
        </w:rPr>
        <w:tab/>
      </w:r>
      <w:r w:rsidR="00763483">
        <w:rPr>
          <w:sz w:val="22"/>
          <w:szCs w:val="22"/>
        </w:rPr>
        <w:t>Remaining Issues of Message 3 Size Indication</w:t>
      </w:r>
    </w:p>
    <w:p w14:paraId="224D1C4A" w14:textId="7D001DA5" w:rsidR="00E90E49" w:rsidRDefault="00E90E49" w:rsidP="00D546FF">
      <w:pPr>
        <w:pStyle w:val="3GPPHeader"/>
        <w:rPr>
          <w:sz w:val="22"/>
          <w:szCs w:val="22"/>
        </w:rPr>
      </w:pPr>
      <w:r w:rsidRPr="003E7E24">
        <w:rPr>
          <w:sz w:val="22"/>
          <w:szCs w:val="22"/>
        </w:rPr>
        <w:t>Document for:</w:t>
      </w:r>
      <w:r w:rsidRPr="003E7E24">
        <w:rPr>
          <w:sz w:val="22"/>
          <w:szCs w:val="22"/>
        </w:rPr>
        <w:tab/>
        <w:t>Discussion, Decision</w:t>
      </w:r>
    </w:p>
    <w:p w14:paraId="087E3FDA" w14:textId="77777777" w:rsidR="003E7E24" w:rsidRDefault="003E7E24" w:rsidP="00D546FF">
      <w:pPr>
        <w:pStyle w:val="3GPPHeader"/>
        <w:rPr>
          <w:sz w:val="22"/>
          <w:szCs w:val="22"/>
        </w:rPr>
      </w:pPr>
    </w:p>
    <w:p w14:paraId="4E03BEDA" w14:textId="2F326261" w:rsidR="00C24345" w:rsidRPr="003E7E24" w:rsidRDefault="00E90E49" w:rsidP="003E7E24">
      <w:pPr>
        <w:pStyle w:val="Heading1"/>
      </w:pPr>
      <w:r w:rsidRPr="003E7E24">
        <w:t>Introduction</w:t>
      </w:r>
    </w:p>
    <w:p w14:paraId="00BD7F6D" w14:textId="25B7894B" w:rsidR="00A2052C" w:rsidRPr="00A2052C" w:rsidRDefault="007235BC" w:rsidP="00A2052C">
      <w:r>
        <w:t>In previous</w:t>
      </w:r>
      <w:r w:rsidR="00A41626">
        <w:t xml:space="preserve"> discussion</w:t>
      </w:r>
      <w:r>
        <w:t>, it was agreed that the random access preambles for contention based access can be partitioned into two groups to indicate the message 3 size</w:t>
      </w:r>
      <w:r w:rsidR="003F076C">
        <w:t>. If configured with two random access preamble groups, a UE shall randomly select a preambles from a group which is determined based on the message 3 size. There are still some remaining issues such as the parameters and schemes to define the random access preamble groups and the signal to convey the parameters.</w:t>
      </w:r>
      <w:r w:rsidR="00A41626">
        <w:t xml:space="preserve"> For details please refer to</w:t>
      </w:r>
      <w:r w:rsidR="00F176F3">
        <w:t xml:space="preserve"> </w:t>
      </w:r>
      <w:r w:rsidR="00F176F3">
        <w:fldChar w:fldCharType="begin"/>
      </w:r>
      <w:r w:rsidR="00F176F3">
        <w:instrText xml:space="preserve"> REF _Ref493163989 \r \h </w:instrText>
      </w:r>
      <w:r w:rsidR="00F176F3">
        <w:fldChar w:fldCharType="separate"/>
      </w:r>
      <w:r w:rsidR="00F00C33">
        <w:t>[1]</w:t>
      </w:r>
      <w:r w:rsidR="00F176F3">
        <w:fldChar w:fldCharType="end"/>
      </w:r>
      <w:r w:rsidR="00F176F3">
        <w:t>.</w:t>
      </w:r>
      <w:r w:rsidR="003F076C">
        <w:t xml:space="preserve"> This paper discusses these remaining issues by referring to the relevant schemes in LTE.</w:t>
      </w:r>
    </w:p>
    <w:p w14:paraId="00CE1DFE" w14:textId="25BC3CEC" w:rsidR="004000E8" w:rsidRDefault="004000E8" w:rsidP="003E7E24">
      <w:pPr>
        <w:pStyle w:val="Heading1"/>
      </w:pPr>
      <w:bookmarkStart w:id="0" w:name="_Ref178064866"/>
      <w:r w:rsidRPr="00CE0424">
        <w:t>Discussion</w:t>
      </w:r>
      <w:bookmarkEnd w:id="0"/>
    </w:p>
    <w:p w14:paraId="4179EB86" w14:textId="292711B2" w:rsidR="00DE3DE4" w:rsidRPr="00980193" w:rsidRDefault="00DE3DE4" w:rsidP="003E7E24">
      <w:pPr>
        <w:pStyle w:val="Heading2"/>
      </w:pPr>
      <w:r>
        <w:t xml:space="preserve">Preamble groups </w:t>
      </w:r>
      <w:r w:rsidRPr="003F076C">
        <w:t>for message 3 size indication</w:t>
      </w:r>
    </w:p>
    <w:p w14:paraId="32F7765F" w14:textId="5C3E8789" w:rsidR="00827CFB" w:rsidRPr="00827CFB" w:rsidRDefault="00B21E32" w:rsidP="00827CFB">
      <w:pPr>
        <w:pStyle w:val="BodyText"/>
        <w:rPr>
          <w:rFonts w:cs="Arial"/>
          <w:lang w:eastAsia="ko-KR"/>
        </w:rPr>
      </w:pPr>
      <w:r w:rsidRPr="003F076C">
        <w:rPr>
          <w:rFonts w:cs="Arial"/>
        </w:rPr>
        <w:t xml:space="preserve">In previous meetings, it was agreed to have two random access preamble groups for message 3 size indication during random access procedure. However, the parameters to identify the </w:t>
      </w:r>
      <w:r w:rsidR="00827CFB" w:rsidRPr="003F076C">
        <w:rPr>
          <w:rFonts w:cs="Arial"/>
        </w:rPr>
        <w:t>two random access preamble groups are not discussed yet.</w:t>
      </w:r>
      <w:r w:rsidR="00763483" w:rsidRPr="003F076C">
        <w:rPr>
          <w:rFonts w:cs="Arial"/>
        </w:rPr>
        <w:t xml:space="preserve"> </w:t>
      </w:r>
      <w:r w:rsidR="00827CFB" w:rsidRPr="00827CFB">
        <w:rPr>
          <w:rFonts w:cs="Arial"/>
          <w:lang w:eastAsia="ko-KR"/>
        </w:rPr>
        <w:t xml:space="preserve"> In LTE, three parameters are used:</w:t>
      </w:r>
    </w:p>
    <w:p w14:paraId="65E28495" w14:textId="7A9AE1A6" w:rsidR="00827CFB" w:rsidRPr="003F076C" w:rsidRDefault="00827CFB" w:rsidP="003F076C">
      <w:pPr>
        <w:pStyle w:val="BodyText"/>
        <w:numPr>
          <w:ilvl w:val="0"/>
          <w:numId w:val="18"/>
        </w:numPr>
        <w:rPr>
          <w:rFonts w:cs="Arial"/>
          <w:lang w:eastAsia="ko-KR"/>
        </w:rPr>
      </w:pPr>
      <w:r w:rsidRPr="003F076C">
        <w:rPr>
          <w:rFonts w:cs="Arial"/>
          <w:noProof/>
        </w:rPr>
        <w:t>sizeOfRA-PreamblesGroupA: the number of random access preambles in random access preamble group A;</w:t>
      </w:r>
    </w:p>
    <w:p w14:paraId="22CF97F7" w14:textId="19282EE3" w:rsidR="00827CFB" w:rsidRPr="003F076C" w:rsidRDefault="00827CFB" w:rsidP="003F076C">
      <w:pPr>
        <w:pStyle w:val="BodyText"/>
        <w:numPr>
          <w:ilvl w:val="0"/>
          <w:numId w:val="18"/>
        </w:numPr>
        <w:rPr>
          <w:rFonts w:cs="Arial"/>
          <w:lang w:eastAsia="ko-KR"/>
        </w:rPr>
      </w:pPr>
      <w:r w:rsidRPr="003F076C">
        <w:rPr>
          <w:rFonts w:cs="Arial"/>
          <w:noProof/>
        </w:rPr>
        <w:t>numberOfRA-Preambles: the total number of random access preambles for contention based random access</w:t>
      </w:r>
    </w:p>
    <w:p w14:paraId="359B7090" w14:textId="1D330E71" w:rsidR="00827CFB" w:rsidRPr="00827CFB" w:rsidRDefault="00827CFB" w:rsidP="003F076C">
      <w:pPr>
        <w:pStyle w:val="BodyText"/>
        <w:numPr>
          <w:ilvl w:val="0"/>
          <w:numId w:val="18"/>
        </w:numPr>
        <w:rPr>
          <w:rFonts w:cs="Arial"/>
          <w:lang w:eastAsia="ko-KR"/>
        </w:rPr>
      </w:pPr>
      <w:r w:rsidRPr="003F076C">
        <w:rPr>
          <w:rFonts w:cs="Arial"/>
        </w:rPr>
        <w:t>messageSizeGroupA: the message3 size threshold to determine the random access preamble group, from which a random access preamble is randomly selected for random access</w:t>
      </w:r>
    </w:p>
    <w:p w14:paraId="1C13FE6A" w14:textId="00A78F7F" w:rsidR="00763483" w:rsidRPr="003E7E24" w:rsidRDefault="00827CFB" w:rsidP="003E7E24">
      <w:pPr>
        <w:pStyle w:val="BodyText"/>
        <w:rPr>
          <w:rFonts w:cs="Arial"/>
        </w:rPr>
      </w:pPr>
      <w:r w:rsidRPr="003F076C">
        <w:rPr>
          <w:rFonts w:cs="Arial"/>
        </w:rPr>
        <w:t xml:space="preserve">In LTE, two parameters </w:t>
      </w:r>
      <w:r w:rsidRPr="00827CFB">
        <w:rPr>
          <w:rFonts w:cs="Arial"/>
          <w:noProof/>
        </w:rPr>
        <w:t xml:space="preserve">If </w:t>
      </w:r>
      <w:r w:rsidRPr="00827CFB">
        <w:rPr>
          <w:rFonts w:cs="Arial"/>
          <w:i/>
          <w:noProof/>
        </w:rPr>
        <w:t xml:space="preserve">sizeOfRA-PreamblesGroupA </w:t>
      </w:r>
      <w:r w:rsidRPr="00827CFB">
        <w:rPr>
          <w:rFonts w:cs="Arial"/>
          <w:noProof/>
        </w:rPr>
        <w:t xml:space="preserve">is equal to </w:t>
      </w:r>
      <w:r w:rsidRPr="00827CFB">
        <w:rPr>
          <w:rFonts w:cs="Arial"/>
          <w:i/>
          <w:noProof/>
        </w:rPr>
        <w:t>numberOfRA-Preambles</w:t>
      </w:r>
      <w:r w:rsidRPr="00827CFB">
        <w:rPr>
          <w:rFonts w:cs="Arial"/>
          <w:noProof/>
        </w:rPr>
        <w:t xml:space="preserve"> then there is no Random Access Preambles group B. The preambles in Random Access Preamble group A are the preambles </w:t>
      </w:r>
      <w:r w:rsidR="00F75FC0">
        <w:rPr>
          <w:rFonts w:cs="Arial"/>
          <w:noProof/>
        </w:rPr>
        <w:t xml:space="preserve">whose indies are within </w:t>
      </w:r>
      <w:r w:rsidRPr="00827CFB">
        <w:rPr>
          <w:rFonts w:cs="Arial"/>
          <w:noProof/>
        </w:rPr>
        <w:t xml:space="preserve">0 to </w:t>
      </w:r>
      <w:r w:rsidRPr="003F076C">
        <w:rPr>
          <w:rFonts w:cs="Arial"/>
          <w:i/>
          <w:noProof/>
        </w:rPr>
        <w:t>sizeOfRA-PreamblesGroupA</w:t>
      </w:r>
      <w:r w:rsidRPr="003F076C">
        <w:rPr>
          <w:rFonts w:cs="Arial"/>
          <w:noProof/>
        </w:rPr>
        <w:t xml:space="preserve"> </w:t>
      </w:r>
      <w:r w:rsidRPr="003F076C">
        <w:rPr>
          <w:rFonts w:cs="Arial"/>
        </w:rPr>
        <w:t>–</w:t>
      </w:r>
      <w:r w:rsidRPr="003F076C">
        <w:rPr>
          <w:rFonts w:cs="Arial"/>
          <w:noProof/>
        </w:rPr>
        <w:t xml:space="preserve"> 1 and, if it exists, the preambles in Random Access Preamble group B are the preambles </w:t>
      </w:r>
      <w:r w:rsidRPr="003F076C">
        <w:rPr>
          <w:rFonts w:cs="Arial"/>
          <w:i/>
          <w:noProof/>
        </w:rPr>
        <w:t>sizeOfRA-PreamblesGroupA</w:t>
      </w:r>
      <w:r w:rsidRPr="003F076C">
        <w:rPr>
          <w:rFonts w:cs="Arial"/>
          <w:noProof/>
        </w:rPr>
        <w:t xml:space="preserve"> to </w:t>
      </w:r>
      <w:r w:rsidRPr="003F076C">
        <w:rPr>
          <w:rFonts w:cs="Arial"/>
          <w:i/>
          <w:noProof/>
        </w:rPr>
        <w:t xml:space="preserve">numberOfRA-Preambles </w:t>
      </w:r>
      <w:r w:rsidRPr="003F076C">
        <w:rPr>
          <w:rFonts w:cs="Arial"/>
        </w:rPr>
        <w:t>–</w:t>
      </w:r>
      <w:r w:rsidRPr="003F076C">
        <w:rPr>
          <w:rFonts w:cs="Arial"/>
          <w:noProof/>
        </w:rPr>
        <w:t xml:space="preserve"> 1 from the set of 64 preambles.</w:t>
      </w:r>
      <w:r w:rsidR="00F75FC0">
        <w:rPr>
          <w:rFonts w:cs="Arial"/>
          <w:noProof/>
        </w:rPr>
        <w:t xml:space="preserve"> Since NR also have at most two random access preamble groups, it is no doubt that the similar parameters and schemes as in LTE shall be reused.</w:t>
      </w:r>
    </w:p>
    <w:p w14:paraId="4613E3A0" w14:textId="28E0677A" w:rsidR="00763483" w:rsidRDefault="00763483" w:rsidP="00763483">
      <w:pPr>
        <w:pStyle w:val="Proposal"/>
      </w:pPr>
      <w:bookmarkStart w:id="1" w:name="_Toc492549204"/>
      <w:bookmarkStart w:id="2" w:name="_Toc492988406"/>
      <w:bookmarkStart w:id="3" w:name="_Toc493154071"/>
      <w:bookmarkStart w:id="4" w:name="_Toc493154114"/>
      <w:bookmarkStart w:id="5" w:name="_Toc493160590"/>
      <w:bookmarkStart w:id="6" w:name="_Toc493160623"/>
      <w:bookmarkStart w:id="7" w:name="_Toc494183895"/>
      <w:bookmarkStart w:id="8" w:name="_Toc494381595"/>
      <w:r>
        <w:t xml:space="preserve">The parameters </w:t>
      </w:r>
      <w:r w:rsidRPr="006352AA">
        <w:rPr>
          <w:i/>
        </w:rPr>
        <w:t>numberOfRA-Preambles</w:t>
      </w:r>
      <w:r w:rsidRPr="00763483">
        <w:t xml:space="preserve">, </w:t>
      </w:r>
      <w:r w:rsidRPr="006352AA">
        <w:rPr>
          <w:i/>
        </w:rPr>
        <w:t>sizeOfRA-PreamblesGroupA</w:t>
      </w:r>
      <w:r w:rsidRPr="00763483">
        <w:t xml:space="preserve">, </w:t>
      </w:r>
      <w:r w:rsidRPr="006352AA">
        <w:rPr>
          <w:i/>
        </w:rPr>
        <w:t>messageSizeGroupA</w:t>
      </w:r>
      <w:r>
        <w:t xml:space="preserve"> in LTE should be reused</w:t>
      </w:r>
      <w:bookmarkEnd w:id="1"/>
      <w:bookmarkEnd w:id="2"/>
      <w:bookmarkEnd w:id="3"/>
      <w:bookmarkEnd w:id="4"/>
      <w:bookmarkEnd w:id="5"/>
      <w:bookmarkEnd w:id="6"/>
      <w:r w:rsidR="00F75FC0">
        <w:t xml:space="preserve"> in NR</w:t>
      </w:r>
      <w:bookmarkEnd w:id="7"/>
      <w:r w:rsidR="007427EB">
        <w:t>.</w:t>
      </w:r>
      <w:bookmarkEnd w:id="8"/>
    </w:p>
    <w:p w14:paraId="702072C9" w14:textId="43FFC78D" w:rsidR="00827CFB" w:rsidRDefault="00827CFB" w:rsidP="00763483">
      <w:pPr>
        <w:pStyle w:val="Proposal"/>
      </w:pPr>
      <w:bookmarkStart w:id="9" w:name="_Toc493154072"/>
      <w:bookmarkStart w:id="10" w:name="_Toc493154115"/>
      <w:bookmarkStart w:id="11" w:name="_Toc493160591"/>
      <w:bookmarkStart w:id="12" w:name="_Toc493160624"/>
      <w:bookmarkStart w:id="13" w:name="_Toc494183896"/>
      <w:bookmarkStart w:id="14" w:name="_Toc494381596"/>
      <w:r>
        <w:t>The scheme to determine the random access preamble group in LTE should be reused in NR</w:t>
      </w:r>
      <w:bookmarkEnd w:id="9"/>
      <w:bookmarkEnd w:id="10"/>
      <w:bookmarkEnd w:id="11"/>
      <w:bookmarkEnd w:id="12"/>
      <w:bookmarkEnd w:id="13"/>
      <w:r w:rsidR="007427EB">
        <w:t>.</w:t>
      </w:r>
      <w:bookmarkEnd w:id="14"/>
    </w:p>
    <w:p w14:paraId="29895C35" w14:textId="512150A5" w:rsidR="00763483" w:rsidRDefault="0032694B" w:rsidP="003F076C">
      <w:pPr>
        <w:pStyle w:val="BodyText"/>
        <w:rPr>
          <w:lang w:eastAsia="ko-KR"/>
        </w:rPr>
      </w:pPr>
      <w:bookmarkStart w:id="15" w:name="_Toc493154118"/>
      <w:bookmarkStart w:id="16" w:name="_Toc493160594"/>
      <w:bookmarkStart w:id="17" w:name="_Toc493160627"/>
      <w:bookmarkEnd w:id="15"/>
      <w:bookmarkEnd w:id="16"/>
      <w:bookmarkEnd w:id="17"/>
      <w:r>
        <w:t xml:space="preserve">In LTE, these parameters are </w:t>
      </w:r>
      <w:r w:rsidR="00697C90">
        <w:t>comprised in</w:t>
      </w:r>
      <w:r w:rsidR="00697C90" w:rsidRPr="00697C90">
        <w:t xml:space="preserve"> </w:t>
      </w:r>
      <w:r w:rsidR="00697C90" w:rsidRPr="00A9351C">
        <w:t>RACH-ConfigCommon</w:t>
      </w:r>
      <w:r w:rsidR="00697C90">
        <w:t xml:space="preserve"> IE (see relevant part </w:t>
      </w:r>
      <w:r w:rsidR="00697C90" w:rsidRPr="00A9351C">
        <w:t>RACH-ConfigCommon</w:t>
      </w:r>
      <w:r w:rsidR="00697C90">
        <w:t xml:space="preserve"> IE from 3GPP TS 36.331-e20 below) and conveyed to UE via</w:t>
      </w:r>
      <w:r>
        <w:t xml:space="preserve"> </w:t>
      </w:r>
      <w:r w:rsidR="00697C90">
        <w:t>SIB1.</w:t>
      </w:r>
    </w:p>
    <w:p w14:paraId="660DF702" w14:textId="5BFC70C7" w:rsidR="00223E0E" w:rsidRDefault="00223E0E" w:rsidP="00223E0E">
      <w:pPr>
        <w:pStyle w:val="PL"/>
        <w:shd w:val="clear" w:color="auto" w:fill="E6E6E6"/>
      </w:pPr>
      <w:r w:rsidRPr="00A9351C">
        <w:t>RACH-ConfigCommon ::=</w:t>
      </w:r>
      <w:r w:rsidRPr="00A9351C">
        <w:tab/>
      </w:r>
      <w:r w:rsidRPr="00A9351C">
        <w:tab/>
        <w:t>SEQUENCE {</w:t>
      </w:r>
    </w:p>
    <w:p w14:paraId="0CC4AFC1" w14:textId="77777777" w:rsidR="007427EB" w:rsidRDefault="007427EB" w:rsidP="007427EB">
      <w:pPr>
        <w:pStyle w:val="PL"/>
        <w:shd w:val="clear" w:color="auto" w:fill="E6E6E6"/>
      </w:pPr>
      <w:r>
        <w:tab/>
        <w:t>P</w:t>
      </w:r>
      <w:r w:rsidR="00763483">
        <w:t>reambleInfo</w:t>
      </w:r>
      <w:r>
        <w:tab/>
      </w:r>
      <w:r>
        <w:tab/>
      </w:r>
      <w:r w:rsidR="00763483">
        <w:t>SEQUENCE {</w:t>
      </w:r>
    </w:p>
    <w:p w14:paraId="12F1E39B" w14:textId="77777777" w:rsidR="007427EB" w:rsidRDefault="007427EB" w:rsidP="007427EB">
      <w:pPr>
        <w:pStyle w:val="PL"/>
        <w:shd w:val="clear" w:color="auto" w:fill="E6E6E6"/>
      </w:pPr>
      <w:r>
        <w:lastRenderedPageBreak/>
        <w:tab/>
      </w:r>
      <w:r>
        <w:tab/>
      </w:r>
      <w:r w:rsidR="00763483">
        <w:t>numberOfRA-Preambles</w:t>
      </w:r>
      <w:r>
        <w:tab/>
      </w:r>
      <w:r w:rsidR="00763483">
        <w:t>ENUMERATED {n4, n8, n12, n16, n20, n24,</w:t>
      </w:r>
    </w:p>
    <w:p w14:paraId="58B80BB4" w14:textId="77777777" w:rsidR="007427EB" w:rsidRDefault="007427EB" w:rsidP="007427EB">
      <w:pPr>
        <w:pStyle w:val="PL"/>
        <w:shd w:val="clear" w:color="auto" w:fill="E6E6E6"/>
      </w:pPr>
      <w:r>
        <w:tab/>
      </w:r>
      <w:r>
        <w:tab/>
      </w:r>
      <w:r>
        <w:tab/>
      </w:r>
      <w:r>
        <w:tab/>
      </w:r>
      <w:r>
        <w:tab/>
      </w:r>
      <w:r>
        <w:tab/>
      </w:r>
      <w:r>
        <w:tab/>
      </w:r>
      <w:r>
        <w:tab/>
      </w:r>
      <w:r w:rsidR="00763483">
        <w:t xml:space="preserve">n28,n32, n36, n40, n44, n48, n52, </w:t>
      </w:r>
    </w:p>
    <w:p w14:paraId="6A487B89" w14:textId="40234A66" w:rsidR="00763483" w:rsidRDefault="007427EB" w:rsidP="007427EB">
      <w:pPr>
        <w:pStyle w:val="PL"/>
        <w:shd w:val="clear" w:color="auto" w:fill="E6E6E6"/>
      </w:pPr>
      <w:r>
        <w:tab/>
      </w:r>
      <w:r>
        <w:tab/>
      </w:r>
      <w:r>
        <w:tab/>
      </w:r>
      <w:r>
        <w:tab/>
      </w:r>
      <w:r>
        <w:tab/>
      </w:r>
      <w:r>
        <w:tab/>
      </w:r>
      <w:r>
        <w:tab/>
      </w:r>
      <w:r>
        <w:tab/>
      </w:r>
      <w:r w:rsidR="00763483">
        <w:t>n56,n60, n64},</w:t>
      </w:r>
    </w:p>
    <w:p w14:paraId="79B81D7E" w14:textId="0FC4EEB2" w:rsidR="00763483" w:rsidRDefault="007427EB" w:rsidP="00763483">
      <w:pPr>
        <w:pStyle w:val="PL"/>
        <w:shd w:val="clear" w:color="auto" w:fill="E6E6E6"/>
      </w:pPr>
      <w:r>
        <w:tab/>
      </w:r>
      <w:r>
        <w:tab/>
      </w:r>
      <w:r w:rsidR="00763483">
        <w:t>preamblesGroupAConfig</w:t>
      </w:r>
      <w:r>
        <w:tab/>
      </w:r>
      <w:r w:rsidR="00763483">
        <w:t>SEQUENCE {</w:t>
      </w:r>
    </w:p>
    <w:p w14:paraId="1732AD8E" w14:textId="77777777" w:rsidR="007427EB" w:rsidRDefault="007427EB" w:rsidP="007427EB">
      <w:pPr>
        <w:pStyle w:val="PL"/>
        <w:shd w:val="clear" w:color="auto" w:fill="E6E6E6"/>
      </w:pPr>
      <w:r>
        <w:tab/>
      </w:r>
      <w:r>
        <w:tab/>
      </w:r>
      <w:r>
        <w:tab/>
      </w:r>
      <w:r w:rsidR="00763483">
        <w:t>sizeOfRA-PreamblesGroupA</w:t>
      </w:r>
      <w:r>
        <w:tab/>
      </w:r>
      <w:r w:rsidR="00763483">
        <w:t xml:space="preserve">ENUMERATED {n4, n8, n12, n16, </w:t>
      </w:r>
    </w:p>
    <w:p w14:paraId="4DD2A521" w14:textId="77777777" w:rsidR="007427EB" w:rsidRDefault="007427EB" w:rsidP="007427EB">
      <w:pPr>
        <w:pStyle w:val="PL"/>
        <w:shd w:val="clear" w:color="auto" w:fill="E6E6E6"/>
      </w:pPr>
      <w:r>
        <w:tab/>
      </w:r>
      <w:r>
        <w:tab/>
      </w:r>
      <w:r>
        <w:tab/>
      </w:r>
      <w:r>
        <w:tab/>
      </w:r>
      <w:r>
        <w:tab/>
      </w:r>
      <w:r>
        <w:tab/>
      </w:r>
      <w:r>
        <w:tab/>
      </w:r>
      <w:r>
        <w:tab/>
      </w:r>
      <w:r>
        <w:tab/>
      </w:r>
      <w:r>
        <w:tab/>
      </w:r>
      <w:r w:rsidR="00763483">
        <w:t xml:space="preserve">n20, n24, n28, n32, n36, </w:t>
      </w:r>
    </w:p>
    <w:p w14:paraId="6066294E" w14:textId="5036CD08" w:rsidR="00763483" w:rsidRDefault="007427EB" w:rsidP="007427EB">
      <w:pPr>
        <w:pStyle w:val="PL"/>
        <w:shd w:val="clear" w:color="auto" w:fill="E6E6E6"/>
      </w:pPr>
      <w:r>
        <w:tab/>
      </w:r>
      <w:r>
        <w:tab/>
      </w:r>
      <w:r>
        <w:tab/>
      </w:r>
      <w:r>
        <w:tab/>
      </w:r>
      <w:r>
        <w:tab/>
      </w:r>
      <w:r>
        <w:tab/>
      </w:r>
      <w:r>
        <w:tab/>
      </w:r>
      <w:r>
        <w:tab/>
      </w:r>
      <w:r>
        <w:tab/>
      </w:r>
      <w:r>
        <w:tab/>
      </w:r>
      <w:r w:rsidR="00763483">
        <w:t>n40, n44, n48, n52, n56, n60},</w:t>
      </w:r>
    </w:p>
    <w:p w14:paraId="2E89F143" w14:textId="4678DB11" w:rsidR="0032694B" w:rsidRDefault="007427EB" w:rsidP="007427EB">
      <w:pPr>
        <w:pStyle w:val="PL"/>
        <w:shd w:val="clear" w:color="auto" w:fill="E6E6E6"/>
      </w:pPr>
      <w:r>
        <w:tab/>
      </w:r>
      <w:r>
        <w:tab/>
      </w:r>
      <w:r>
        <w:tab/>
      </w:r>
      <w:r w:rsidR="00763483">
        <w:t>messageSizeGroupA</w:t>
      </w:r>
      <w:r>
        <w:tab/>
      </w:r>
      <w:r>
        <w:tab/>
      </w:r>
      <w:r>
        <w:tab/>
      </w:r>
      <w:r w:rsidR="00763483">
        <w:t>ENUMERATED {b56, b144, b208, b256}</w:t>
      </w:r>
    </w:p>
    <w:p w14:paraId="257904FA" w14:textId="691F6421" w:rsidR="007427EB" w:rsidRDefault="007427EB" w:rsidP="007427EB">
      <w:pPr>
        <w:pStyle w:val="PL"/>
        <w:shd w:val="clear" w:color="auto" w:fill="E6E6E6"/>
      </w:pPr>
      <w:r>
        <w:tab/>
      </w:r>
      <w:r>
        <w:tab/>
        <w:t>}</w:t>
      </w:r>
    </w:p>
    <w:p w14:paraId="5F4D0065" w14:textId="6C3B89EF" w:rsidR="0032694B" w:rsidRDefault="007427EB" w:rsidP="007427EB">
      <w:pPr>
        <w:pStyle w:val="PL"/>
        <w:shd w:val="clear" w:color="auto" w:fill="E6E6E6"/>
      </w:pPr>
      <w:r>
        <w:tab/>
      </w:r>
      <w:r w:rsidR="0032694B">
        <w:t>}</w:t>
      </w:r>
    </w:p>
    <w:p w14:paraId="04C93C1D" w14:textId="513CAE06" w:rsidR="0032694B" w:rsidRDefault="0032694B" w:rsidP="007427EB">
      <w:pPr>
        <w:pStyle w:val="PL"/>
        <w:shd w:val="clear" w:color="auto" w:fill="E6E6E6"/>
      </w:pPr>
      <w:r>
        <w:t>}</w:t>
      </w:r>
    </w:p>
    <w:p w14:paraId="1FED00A9" w14:textId="7A386211" w:rsidR="007427EB" w:rsidRDefault="007427EB" w:rsidP="007427EB">
      <w:pPr>
        <w:pStyle w:val="PL"/>
        <w:shd w:val="clear" w:color="auto" w:fill="E6E6E6"/>
      </w:pPr>
    </w:p>
    <w:p w14:paraId="60170D5A" w14:textId="77777777" w:rsidR="003E7E24" w:rsidRDefault="003E7E24" w:rsidP="003E7E24"/>
    <w:p w14:paraId="1542CB64" w14:textId="1C1D2712" w:rsidR="00697C90" w:rsidRDefault="00697C90" w:rsidP="003F076C">
      <w:pPr>
        <w:pStyle w:val="Observation"/>
        <w:overflowPunct/>
        <w:autoSpaceDE/>
        <w:autoSpaceDN/>
        <w:adjustRightInd/>
        <w:spacing w:after="200" w:line="276" w:lineRule="auto"/>
        <w:jc w:val="left"/>
        <w:textAlignment w:val="auto"/>
      </w:pPr>
      <w:bookmarkStart w:id="18" w:name="_Toc493162170"/>
      <w:bookmarkStart w:id="19" w:name="_Toc494184248"/>
      <w:r w:rsidRPr="003F076C">
        <w:t>In LTE, the</w:t>
      </w:r>
      <w:r w:rsidRPr="00697C90">
        <w:t xml:space="preserve"> </w:t>
      </w:r>
      <w:r>
        <w:t xml:space="preserve">parameters </w:t>
      </w:r>
      <w:r w:rsidRPr="003F076C">
        <w:t>numberOfRA-Preambles</w:t>
      </w:r>
      <w:r>
        <w:t xml:space="preserve">, </w:t>
      </w:r>
      <w:r w:rsidRPr="003F076C">
        <w:t>sizeOfRA-PreamblesGroupA</w:t>
      </w:r>
      <w:r>
        <w:t xml:space="preserve">, </w:t>
      </w:r>
      <w:r w:rsidRPr="003F076C">
        <w:t>messageSizeGroupA</w:t>
      </w:r>
      <w:r>
        <w:t xml:space="preserve"> are conveyed via SIB1</w:t>
      </w:r>
      <w:r w:rsidR="00901410">
        <w:t>.</w:t>
      </w:r>
      <w:bookmarkEnd w:id="18"/>
      <w:bookmarkEnd w:id="19"/>
    </w:p>
    <w:p w14:paraId="7A645CEB" w14:textId="680CFC72" w:rsidR="00763483" w:rsidRPr="00763483" w:rsidRDefault="00697C90" w:rsidP="00763483">
      <w:pPr>
        <w:rPr>
          <w:lang w:val="en-US"/>
        </w:rPr>
      </w:pPr>
      <w:r>
        <w:rPr>
          <w:lang w:val="en-US"/>
        </w:rPr>
        <w:t xml:space="preserve">In NR, such message shall be conveyed via </w:t>
      </w:r>
      <w:r w:rsidR="00980193">
        <w:rPr>
          <w:lang w:val="en-US"/>
        </w:rPr>
        <w:t>NR SIB1</w:t>
      </w:r>
      <w:r>
        <w:rPr>
          <w:lang w:val="en-US"/>
        </w:rPr>
        <w:t xml:space="preserve"> such that a UE can determine the random access preamble without relying the other SI conveyed.</w:t>
      </w:r>
    </w:p>
    <w:p w14:paraId="09087AB8" w14:textId="03F5D291" w:rsidR="0032694B" w:rsidRDefault="0032694B" w:rsidP="0032694B">
      <w:pPr>
        <w:pStyle w:val="Proposal"/>
      </w:pPr>
      <w:bookmarkStart w:id="20" w:name="_Toc494183897"/>
      <w:bookmarkStart w:id="21" w:name="_Toc494381597"/>
      <w:r>
        <w:t xml:space="preserve">The parameters </w:t>
      </w:r>
      <w:r w:rsidRPr="006352AA">
        <w:rPr>
          <w:i/>
        </w:rPr>
        <w:t>numberOfRA-Preambles</w:t>
      </w:r>
      <w:r>
        <w:t xml:space="preserve">, </w:t>
      </w:r>
      <w:r w:rsidRPr="006352AA">
        <w:rPr>
          <w:i/>
        </w:rPr>
        <w:t>sizeOfRA-PreamblesGroupA</w:t>
      </w:r>
      <w:r>
        <w:t xml:space="preserve">, </w:t>
      </w:r>
      <w:r w:rsidRPr="006352AA">
        <w:rPr>
          <w:i/>
        </w:rPr>
        <w:t>messageSizeGroupA</w:t>
      </w:r>
      <w:r>
        <w:t xml:space="preserve"> are conveyed via </w:t>
      </w:r>
      <w:bookmarkEnd w:id="20"/>
      <w:r w:rsidR="005E4101">
        <w:t>NR SIB1</w:t>
      </w:r>
      <w:r w:rsidR="007427EB">
        <w:t>.</w:t>
      </w:r>
      <w:bookmarkEnd w:id="21"/>
    </w:p>
    <w:p w14:paraId="1559C311" w14:textId="3ABE0359" w:rsidR="00DE3DE4" w:rsidRDefault="00DE3DE4" w:rsidP="003E7E24">
      <w:pPr>
        <w:pStyle w:val="Heading2"/>
      </w:pPr>
      <w:r>
        <w:t>Preamble mapping to SS blocks</w:t>
      </w:r>
    </w:p>
    <w:p w14:paraId="34FAA877" w14:textId="51CBDFE9" w:rsidR="00F00C33" w:rsidRDefault="00940764" w:rsidP="00CE0424">
      <w:pPr>
        <w:pStyle w:val="BodyText"/>
      </w:pPr>
      <w:r>
        <w:t>As has also been agreed in RAN1, the gNB can configure an association between PRACH resources and/or preambles to indicate best SSB</w:t>
      </w:r>
      <w:r w:rsidR="00A36B3F">
        <w:t xml:space="preserve"> beam</w:t>
      </w:r>
      <w:r>
        <w:t xml:space="preserve">. Since the Random Access procedure is never used to indicate best SSB only, this </w:t>
      </w:r>
      <w:r w:rsidR="00F00C33">
        <w:t>means that any association to an SSB is also coupled to another association, e.g. preambleGroupA/preambleGroupB, request for SI or a dedicated preamble.</w:t>
      </w:r>
      <w:r>
        <w:t xml:space="preserve"> This means that if the UE would do a random access using a preamble belonging a specific preamble group or a preamble to request SI</w:t>
      </w:r>
      <w:r w:rsidR="00287B14">
        <w:t xml:space="preserve"> or a dedicated preamble</w:t>
      </w:r>
      <w:r>
        <w:t xml:space="preserve">, this preamble would also signal </w:t>
      </w:r>
      <w:r w:rsidR="00F00C33">
        <w:t>the</w:t>
      </w:r>
      <w:r>
        <w:t xml:space="preserve"> best SSB.</w:t>
      </w:r>
      <w:r w:rsidR="00287B14">
        <w:t xml:space="preserve"> </w:t>
      </w:r>
      <w:r w:rsidR="00F00C33">
        <w:t>In other words, every SSB will have its own partition of preambles to preambleGroupA/preambleGroupB, requests for SI or dedicated preambles.</w:t>
      </w:r>
    </w:p>
    <w:p w14:paraId="76CC210F" w14:textId="31A1A638" w:rsidR="00413BD1" w:rsidRDefault="005244E7" w:rsidP="00413BD1">
      <w:pPr>
        <w:pStyle w:val="Observation"/>
        <w:overflowPunct/>
        <w:autoSpaceDE/>
        <w:autoSpaceDN/>
        <w:adjustRightInd/>
        <w:spacing w:after="200" w:line="276" w:lineRule="auto"/>
        <w:jc w:val="left"/>
        <w:textAlignment w:val="auto"/>
      </w:pPr>
      <w:bookmarkStart w:id="22" w:name="_Toc494184249"/>
      <w:r>
        <w:t>For e</w:t>
      </w:r>
      <w:r w:rsidR="00413BD1">
        <w:t xml:space="preserve">very SSB </w:t>
      </w:r>
      <w:r>
        <w:t xml:space="preserve">there </w:t>
      </w:r>
      <w:r w:rsidR="00413BD1">
        <w:t xml:space="preserve">will </w:t>
      </w:r>
      <w:r>
        <w:t>be</w:t>
      </w:r>
      <w:r w:rsidR="003E7E24">
        <w:t xml:space="preserve"> a configuration of</w:t>
      </w:r>
      <w:r w:rsidR="00413BD1">
        <w:t xml:space="preserve"> </w:t>
      </w:r>
      <w:r w:rsidR="00413BD1" w:rsidRPr="003F076C">
        <w:t>numberOfRA-Preambles</w:t>
      </w:r>
      <w:r w:rsidR="00413BD1">
        <w:t xml:space="preserve">, </w:t>
      </w:r>
      <w:r w:rsidR="00413BD1" w:rsidRPr="003F076C">
        <w:t>sizeOfRA-PreamblesGroupA</w:t>
      </w:r>
      <w:r w:rsidR="00413BD1">
        <w:t xml:space="preserve">, </w:t>
      </w:r>
      <w:r w:rsidR="00413BD1" w:rsidRPr="003F076C">
        <w:t>messageSizeGroupA</w:t>
      </w:r>
      <w:r w:rsidR="00413BD1">
        <w:t xml:space="preserve">, preambles to indicate SI request and preambles reserved for dedicated </w:t>
      </w:r>
      <w:r w:rsidR="00C706F9">
        <w:t>purposes</w:t>
      </w:r>
      <w:r w:rsidR="00413BD1">
        <w:t>.</w:t>
      </w:r>
      <w:bookmarkEnd w:id="22"/>
    </w:p>
    <w:p w14:paraId="4CF8CCA7" w14:textId="42DE0B9B" w:rsidR="00724F98" w:rsidRDefault="002D5A07" w:rsidP="00CE0424">
      <w:pPr>
        <w:pStyle w:val="BodyText"/>
      </w:pPr>
      <w:r>
        <w:t xml:space="preserve">To allow full </w:t>
      </w:r>
      <w:r w:rsidR="00724F98">
        <w:t xml:space="preserve">configuration </w:t>
      </w:r>
      <w:r>
        <w:t>flexibility</w:t>
      </w:r>
      <w:r w:rsidR="00724F98">
        <w:t xml:space="preserve">, the number of parameters to configure this via </w:t>
      </w:r>
      <w:r w:rsidR="0073003C">
        <w:t xml:space="preserve">NR SIB1 </w:t>
      </w:r>
      <w:r w:rsidR="00724F98">
        <w:t>would be increased up to a factor of 64 in wide SCS scenarios with 64 SSBs, compared to if only one SSB is used (as in LTE).</w:t>
      </w:r>
    </w:p>
    <w:p w14:paraId="5422EB89" w14:textId="291500FC" w:rsidR="003742AC" w:rsidRDefault="00724F98" w:rsidP="00CE0424">
      <w:pPr>
        <w:pStyle w:val="BodyText"/>
      </w:pPr>
      <w:r>
        <w:t xml:space="preserve">To limit the number paramterers in </w:t>
      </w:r>
      <w:r w:rsidR="00337D74">
        <w:t>NR SIB1</w:t>
      </w:r>
      <w:r>
        <w:t xml:space="preserve">, a structured </w:t>
      </w:r>
      <w:r w:rsidR="00287B14">
        <w:t xml:space="preserve">configuration </w:t>
      </w:r>
      <w:r>
        <w:t xml:space="preserve">could be </w:t>
      </w:r>
      <w:r w:rsidR="005244E7">
        <w:t>considered</w:t>
      </w:r>
      <w:r>
        <w:t xml:space="preserve">. </w:t>
      </w:r>
      <w:r w:rsidR="005244E7">
        <w:t>By assigning the same number of preambles in the same order for each SSB the number of parameters would be the same irrespectively of the number of SSBs. An example with</w:t>
      </w:r>
      <w:r w:rsidR="00287B14">
        <w:t xml:space="preserve"> the same preamble partition for </w:t>
      </w:r>
      <w:r w:rsidR="005244E7">
        <w:t>two</w:t>
      </w:r>
      <w:r w:rsidR="00287B14">
        <w:t xml:space="preserve"> SSB</w:t>
      </w:r>
      <w:r w:rsidR="005244E7">
        <w:t>s i</w:t>
      </w:r>
      <w:r w:rsidR="00287B14">
        <w:t xml:space="preserve">s shown in in </w:t>
      </w:r>
      <w:r w:rsidR="00287B14">
        <w:fldChar w:fldCharType="begin"/>
      </w:r>
      <w:r w:rsidR="00287B14">
        <w:instrText xml:space="preserve"> REF _Ref493680426 \h </w:instrText>
      </w:r>
      <w:r w:rsidR="00287B14">
        <w:fldChar w:fldCharType="separate"/>
      </w:r>
      <w:r w:rsidR="00F00C33">
        <w:t xml:space="preserve">Figure </w:t>
      </w:r>
      <w:r w:rsidR="00F00C33">
        <w:rPr>
          <w:noProof/>
        </w:rPr>
        <w:t>1</w:t>
      </w:r>
      <w:r w:rsidR="00287B14">
        <w:fldChar w:fldCharType="end"/>
      </w:r>
      <w:r w:rsidR="00287B14">
        <w:t>.</w:t>
      </w:r>
      <w:bookmarkStart w:id="23" w:name="_GoBack"/>
      <w:r w:rsidR="00102C2F">
        <w:t xml:space="preserve"> </w:t>
      </w:r>
      <w:bookmarkEnd w:id="23"/>
      <w:r w:rsidR="005244E7">
        <w:t>Here</w:t>
      </w:r>
      <w:r w:rsidR="00102C2F">
        <w:t xml:space="preserve"> the 3 first preambles are configured for preambleGroupA and SSB 1, the</w:t>
      </w:r>
      <w:r w:rsidR="005244E7">
        <w:t xml:space="preserve"> 4</w:t>
      </w:r>
      <w:r w:rsidR="005244E7" w:rsidRPr="00337D74">
        <w:rPr>
          <w:vertAlign w:val="superscript"/>
        </w:rPr>
        <w:t>th</w:t>
      </w:r>
      <w:r w:rsidR="005244E7">
        <w:t xml:space="preserve"> and 5</w:t>
      </w:r>
      <w:r w:rsidR="005244E7" w:rsidRPr="00337D74">
        <w:rPr>
          <w:vertAlign w:val="superscript"/>
        </w:rPr>
        <w:t>th</w:t>
      </w:r>
      <w:r w:rsidR="005244E7">
        <w:t xml:space="preserve"> are assigned to indicate preambleGroup</w:t>
      </w:r>
      <w:r w:rsidR="00EC5384">
        <w:t>B</w:t>
      </w:r>
      <w:r w:rsidR="005244E7">
        <w:t xml:space="preserve"> and SSB 1. Preamble 6 and 7 are in the sam</w:t>
      </w:r>
      <w:r w:rsidR="00D936EC">
        <w:t>e way configured to indicate S</w:t>
      </w:r>
      <w:r w:rsidR="0095528A">
        <w:t>I</w:t>
      </w:r>
      <w:r w:rsidR="005244E7">
        <w:t xml:space="preserve"> requests and and SSB 1. Finally, the 8</w:t>
      </w:r>
      <w:r w:rsidR="005244E7" w:rsidRPr="00337D74">
        <w:rPr>
          <w:vertAlign w:val="superscript"/>
        </w:rPr>
        <w:t>th</w:t>
      </w:r>
      <w:r w:rsidR="005244E7">
        <w:t xml:space="preserve"> and 9</w:t>
      </w:r>
      <w:r w:rsidR="005244E7" w:rsidRPr="00337D74">
        <w:rPr>
          <w:vertAlign w:val="superscript"/>
        </w:rPr>
        <w:t>th</w:t>
      </w:r>
      <w:r w:rsidR="005244E7">
        <w:t xml:space="preserve"> preamble are reserved for dedicated preambles and SSB1. For SSB2, the corresponding configuration is done and can be deduced from the configuration of preamble 1 to preamble 9</w:t>
      </w:r>
      <w:r w:rsidR="00102C2F">
        <w:t xml:space="preserve"> </w:t>
      </w:r>
      <w:r w:rsidR="005244E7">
        <w:t>an</w:t>
      </w:r>
      <w:r w:rsidR="00DE3DE4">
        <w:t>d</w:t>
      </w:r>
      <w:r w:rsidR="005244E7">
        <w:t xml:space="preserve"> the knowledge that there are two SSBs</w:t>
      </w:r>
      <w:r w:rsidR="00102C2F">
        <w:t>.</w:t>
      </w:r>
    </w:p>
    <w:p w14:paraId="0CE9E848" w14:textId="016AE6EA" w:rsidR="00287B14" w:rsidRDefault="00287B14" w:rsidP="003E7E24">
      <w:pPr>
        <w:pStyle w:val="BodyText"/>
        <w:jc w:val="center"/>
      </w:pPr>
      <w:r>
        <w:rPr>
          <w:noProof/>
          <w:lang w:val="sv-SE" w:eastAsia="sv-SE"/>
        </w:rPr>
        <w:lastRenderedPageBreak/>
        <w:drawing>
          <wp:inline distT="0" distB="0" distL="0" distR="0" wp14:anchorId="461BEA67" wp14:editId="3ED86264">
            <wp:extent cx="4428000" cy="2779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4428000" cy="2779200"/>
                    </a:xfrm>
                    <a:prstGeom prst="rect">
                      <a:avLst/>
                    </a:prstGeom>
                    <a:noFill/>
                  </pic:spPr>
                </pic:pic>
              </a:graphicData>
            </a:graphic>
          </wp:inline>
        </w:drawing>
      </w:r>
    </w:p>
    <w:p w14:paraId="09D2FE2D" w14:textId="574F6E22" w:rsidR="00287B14" w:rsidRDefault="00287B14" w:rsidP="003E7E24">
      <w:pPr>
        <w:pStyle w:val="Caption"/>
      </w:pPr>
      <w:bookmarkStart w:id="24" w:name="_Ref493680426"/>
      <w:r>
        <w:t xml:space="preserve">Figure </w:t>
      </w:r>
      <w:r>
        <w:fldChar w:fldCharType="begin"/>
      </w:r>
      <w:r>
        <w:instrText xml:space="preserve"> SEQ Figure \* ARABIC </w:instrText>
      </w:r>
      <w:r>
        <w:fldChar w:fldCharType="separate"/>
      </w:r>
      <w:r w:rsidR="00F00C33">
        <w:rPr>
          <w:noProof/>
        </w:rPr>
        <w:t>1</w:t>
      </w:r>
      <w:r>
        <w:fldChar w:fldCharType="end"/>
      </w:r>
      <w:bookmarkEnd w:id="24"/>
      <w:r>
        <w:t xml:space="preserve"> Example of preamble allocation for two SS blocks</w:t>
      </w:r>
    </w:p>
    <w:p w14:paraId="74157046" w14:textId="160A164D" w:rsidR="00337D74" w:rsidRDefault="00337D74" w:rsidP="00337D74">
      <w:pPr>
        <w:pStyle w:val="BodyText"/>
      </w:pPr>
      <w:r>
        <w:t>As a baseline, the association of p</w:t>
      </w:r>
      <w:r w:rsidR="0014053F">
        <w:t>reambles within a SSB can be SSB</w:t>
      </w:r>
      <w:r>
        <w:t xml:space="preserve"> specific. For example, the </w:t>
      </w:r>
      <w:r w:rsidRPr="003F076C">
        <w:t>numberOfRA-Preambles</w:t>
      </w:r>
      <w:r>
        <w:t xml:space="preserve">, </w:t>
      </w:r>
      <w:r w:rsidRPr="003F076C">
        <w:t>sizeOfRA-PreamblesGroupA</w:t>
      </w:r>
      <w:r>
        <w:t xml:space="preserve">, </w:t>
      </w:r>
      <w:r w:rsidRPr="003F076C">
        <w:t>messageSizeGroupA</w:t>
      </w:r>
      <w:r>
        <w:t xml:space="preserve"> can be different between the SSBs as long as the number of preambles per SSB is constant</w:t>
      </w:r>
      <w:r w:rsidR="00296759">
        <w:t>.</w:t>
      </w:r>
    </w:p>
    <w:p w14:paraId="7581210B" w14:textId="04CB0D93" w:rsidR="00337D74" w:rsidRDefault="00337D74" w:rsidP="00337D74">
      <w:pPr>
        <w:pStyle w:val="Proposal"/>
      </w:pPr>
      <w:bookmarkStart w:id="25" w:name="_Toc494381598"/>
      <w:r>
        <w:t xml:space="preserve">In case </w:t>
      </w:r>
      <w:r w:rsidR="000D6357">
        <w:t xml:space="preserve">several </w:t>
      </w:r>
      <w:r>
        <w:t>SSB</w:t>
      </w:r>
      <w:r w:rsidR="000D6357">
        <w:t>s</w:t>
      </w:r>
      <w:r>
        <w:t xml:space="preserve"> </w:t>
      </w:r>
      <w:r w:rsidR="000D6357">
        <w:t>are configured in a cell</w:t>
      </w:r>
      <w:r>
        <w:t xml:space="preserve">, the number of preambles </w:t>
      </w:r>
      <w:r w:rsidR="0014053F">
        <w:t>per SSB shall be equal for all</w:t>
      </w:r>
      <w:r>
        <w:t xml:space="preserve"> SSBs</w:t>
      </w:r>
      <w:r w:rsidR="005417D7">
        <w:t xml:space="preserve"> in the cell</w:t>
      </w:r>
      <w:r>
        <w:t>.</w:t>
      </w:r>
      <w:bookmarkEnd w:id="25"/>
    </w:p>
    <w:p w14:paraId="6BDFA053" w14:textId="5B7191EF" w:rsidR="00337D74" w:rsidRDefault="00BA1712" w:rsidP="00287B14">
      <w:pPr>
        <w:pStyle w:val="BodyText"/>
      </w:pPr>
      <w:r>
        <w:t>By having</w:t>
      </w:r>
      <w:r w:rsidR="00337D74">
        <w:t xml:space="preserve"> a fixed number of preambles per SSB with the same order of association within each SSB</w:t>
      </w:r>
      <w:r w:rsidRPr="00BA1712">
        <w:t xml:space="preserve"> </w:t>
      </w:r>
      <w:r>
        <w:t xml:space="preserve">as in </w:t>
      </w:r>
      <w:r>
        <w:fldChar w:fldCharType="begin"/>
      </w:r>
      <w:r>
        <w:instrText xml:space="preserve"> REF _Ref493680426 \h </w:instrText>
      </w:r>
      <w:r>
        <w:fldChar w:fldCharType="separate"/>
      </w:r>
      <w:r>
        <w:t xml:space="preserve">Figure </w:t>
      </w:r>
      <w:r>
        <w:rPr>
          <w:noProof/>
        </w:rPr>
        <w:t>1</w:t>
      </w:r>
      <w:r>
        <w:fldChar w:fldCharType="end"/>
      </w:r>
      <w:r w:rsidR="00337D74">
        <w:t>, it is possible to configure preambles using a limited set of parameters.</w:t>
      </w:r>
      <w:r>
        <w:t xml:space="preserve"> </w:t>
      </w:r>
      <w:r w:rsidR="00337D74">
        <w:t>Based on the total number of random access preambles per SSB, preambles for different groups and purposes are easily deduced from the configuration of the preambles indicating SSB 1</w:t>
      </w:r>
      <w:r w:rsidR="003E7E24">
        <w:t>.</w:t>
      </w:r>
    </w:p>
    <w:p w14:paraId="3DAC1E4C" w14:textId="77777777" w:rsidR="00E15C28" w:rsidRDefault="005244E7" w:rsidP="005244E7">
      <w:pPr>
        <w:pStyle w:val="Proposal"/>
      </w:pPr>
      <w:bookmarkStart w:id="26" w:name="_Toc494183898"/>
      <w:bookmarkStart w:id="27" w:name="_Toc494381599"/>
      <w:r>
        <w:t xml:space="preserve">In case </w:t>
      </w:r>
      <w:r w:rsidR="000D6357">
        <w:t xml:space="preserve">several </w:t>
      </w:r>
      <w:r>
        <w:t>SSB</w:t>
      </w:r>
      <w:r w:rsidR="000D6357">
        <w:t>s</w:t>
      </w:r>
      <w:r>
        <w:t xml:space="preserve"> </w:t>
      </w:r>
      <w:r w:rsidR="000D6357">
        <w:t xml:space="preserve">are </w:t>
      </w:r>
      <w:r>
        <w:t>configured</w:t>
      </w:r>
      <w:r w:rsidR="000D6357">
        <w:t xml:space="preserve"> in a cell</w:t>
      </w:r>
      <w:r>
        <w:t xml:space="preserve">, the </w:t>
      </w:r>
      <w:r w:rsidR="007D0612">
        <w:t xml:space="preserve">parameters for </w:t>
      </w:r>
      <w:r>
        <w:t xml:space="preserve">preamble </w:t>
      </w:r>
      <w:r w:rsidR="007D0612">
        <w:t>dimension</w:t>
      </w:r>
      <w:r w:rsidR="00AE74EE">
        <w:t>s</w:t>
      </w:r>
      <w:r>
        <w:t xml:space="preserve"> for </w:t>
      </w:r>
      <w:r w:rsidR="0014053F">
        <w:t>all</w:t>
      </w:r>
      <w:r>
        <w:t xml:space="preserve"> SSBs </w:t>
      </w:r>
      <w:r w:rsidR="007D0612">
        <w:t xml:space="preserve">in </w:t>
      </w:r>
      <w:r w:rsidR="000D6357">
        <w:t>the</w:t>
      </w:r>
      <w:r w:rsidR="007D0612">
        <w:t xml:space="preserve"> cell </w:t>
      </w:r>
      <w:r w:rsidR="00D03FB8">
        <w:t>shall be</w:t>
      </w:r>
      <w:r>
        <w:t xml:space="preserve"> identical</w:t>
      </w:r>
      <w:r w:rsidR="00D03FB8">
        <w:t xml:space="preserve">, meaning </w:t>
      </w:r>
      <w:r w:rsidR="007D0612">
        <w:t>that one common parameter set is used to identify</w:t>
      </w:r>
      <w:r w:rsidR="00D03FB8">
        <w:t xml:space="preserve"> the number and order of preambles </w:t>
      </w:r>
      <w:r w:rsidR="007D0612">
        <w:t xml:space="preserve">for </w:t>
      </w:r>
      <w:r w:rsidR="00D03FB8">
        <w:t xml:space="preserve">preambleGroupA, preambleGroupB, </w:t>
      </w:r>
      <w:r w:rsidR="007D0612">
        <w:t xml:space="preserve">SI </w:t>
      </w:r>
      <w:r w:rsidR="00D03FB8">
        <w:t xml:space="preserve">requests, and reserved </w:t>
      </w:r>
      <w:r w:rsidR="007D0612">
        <w:t xml:space="preserve">preambles </w:t>
      </w:r>
      <w:r w:rsidR="00D03FB8">
        <w:t>for dedicated</w:t>
      </w:r>
      <w:r w:rsidR="007D0612">
        <w:t xml:space="preserve"> purposes</w:t>
      </w:r>
      <w:r w:rsidR="00D03FB8">
        <w:t xml:space="preserve"> </w:t>
      </w:r>
      <w:r w:rsidR="007D0612">
        <w:t>for all</w:t>
      </w:r>
      <w:r w:rsidR="00D03FB8">
        <w:t xml:space="preserve"> SSB</w:t>
      </w:r>
      <w:r w:rsidR="007D0612">
        <w:t xml:space="preserve">s in </w:t>
      </w:r>
      <w:r w:rsidR="000D6357">
        <w:t>the</w:t>
      </w:r>
      <w:r w:rsidR="007D0612">
        <w:t xml:space="preserve"> cell</w:t>
      </w:r>
      <w:r w:rsidR="00D03FB8">
        <w:t>.</w:t>
      </w:r>
      <w:bookmarkEnd w:id="26"/>
    </w:p>
    <w:p w14:paraId="732AAA8C" w14:textId="25680E57" w:rsidR="005244E7" w:rsidRDefault="00E15C28" w:rsidP="00E15C28">
      <w:r>
        <w:t>A text proposal covering these proposals can be found in [2].</w:t>
      </w:r>
      <w:bookmarkEnd w:id="27"/>
    </w:p>
    <w:p w14:paraId="39ECED08" w14:textId="006CDB55" w:rsidR="00C01F33" w:rsidRPr="00CE0424" w:rsidRDefault="00C01F33" w:rsidP="003E7E24">
      <w:pPr>
        <w:pStyle w:val="Heading1"/>
      </w:pPr>
      <w:r w:rsidRPr="00CE0424">
        <w:t>Conclusion</w:t>
      </w:r>
    </w:p>
    <w:p w14:paraId="3F6F5206" w14:textId="5D71778D" w:rsidR="008E065E" w:rsidRDefault="008E065E" w:rsidP="00311702"/>
    <w:p w14:paraId="64E6B227" w14:textId="2B68F352" w:rsidR="00901410" w:rsidRDefault="008E065E" w:rsidP="008E065E">
      <w:pPr>
        <w:pStyle w:val="BodyText"/>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F00C33">
        <w:t>2</w:t>
      </w:r>
      <w:r w:rsidRPr="00CE0424">
        <w:rPr>
          <w:highlight w:val="cyan"/>
        </w:rPr>
        <w:fldChar w:fldCharType="end"/>
      </w:r>
      <w:r w:rsidRPr="00CE0424">
        <w:t xml:space="preserve"> we </w:t>
      </w:r>
      <w:r>
        <w:t>made the following observations</w:t>
      </w:r>
      <w:r w:rsidRPr="00CE0424">
        <w:t>:</w:t>
      </w:r>
    </w:p>
    <w:sdt>
      <w:sdtPr>
        <w:rPr>
          <w:b w:val="0"/>
          <w:noProof w:val="0"/>
          <w:szCs w:val="20"/>
          <w:lang w:val="en-GB"/>
        </w:rPr>
        <w:id w:val="-891415494"/>
        <w:docPartObj>
          <w:docPartGallery w:val="Table of Contents"/>
          <w:docPartUnique/>
        </w:docPartObj>
      </w:sdtPr>
      <w:sdtEndPr>
        <w:rPr>
          <w:b/>
        </w:rPr>
      </w:sdtEndPr>
      <w:sdtContent>
        <w:p w14:paraId="1C33EDD6" w14:textId="2FDDA780" w:rsidR="003E7E24" w:rsidRDefault="003E7E24">
          <w:pPr>
            <w:pStyle w:val="TOC1"/>
            <w:rPr>
              <w:rFonts w:asciiTheme="minorHAnsi" w:eastAsiaTheme="minorEastAsia" w:hAnsiTheme="minorHAnsi" w:cstheme="minorBidi"/>
              <w:b w:val="0"/>
              <w:sz w:val="22"/>
              <w:lang w:val="sv-SE"/>
            </w:rPr>
          </w:pPr>
          <w:r>
            <w:rPr>
              <w:b w:val="0"/>
              <w:noProof w:val="0"/>
              <w:szCs w:val="20"/>
              <w:lang w:val="en-GB"/>
            </w:rPr>
            <w:fldChar w:fldCharType="begin"/>
          </w:r>
          <w:r>
            <w:rPr>
              <w:b w:val="0"/>
              <w:noProof w:val="0"/>
              <w:szCs w:val="20"/>
              <w:lang w:val="en-GB"/>
            </w:rPr>
            <w:instrText xml:space="preserve"> TOC \n \h \z \t "Observation;1" </w:instrText>
          </w:r>
          <w:r>
            <w:rPr>
              <w:b w:val="0"/>
              <w:noProof w:val="0"/>
              <w:szCs w:val="20"/>
              <w:lang w:val="en-GB"/>
            </w:rPr>
            <w:fldChar w:fldCharType="separate"/>
          </w:r>
          <w:hyperlink w:anchor="_Toc494381581" w:history="1">
            <w:r w:rsidRPr="00701538">
              <w:rPr>
                <w:rStyle w:val="Hyperlink"/>
              </w:rPr>
              <w:t>Observation 1</w:t>
            </w:r>
            <w:r>
              <w:rPr>
                <w:rFonts w:asciiTheme="minorHAnsi" w:eastAsiaTheme="minorEastAsia" w:hAnsiTheme="minorHAnsi" w:cstheme="minorBidi"/>
                <w:b w:val="0"/>
                <w:sz w:val="22"/>
                <w:lang w:val="sv-SE"/>
              </w:rPr>
              <w:tab/>
            </w:r>
            <w:r w:rsidRPr="00701538">
              <w:rPr>
                <w:rStyle w:val="Hyperlink"/>
              </w:rPr>
              <w:t>In LTE, the parameters numberOfRA-Preambles, sizeOfRA-PreamblesGroupA, messageSizeGroupA are conveyed via SIB1.</w:t>
            </w:r>
          </w:hyperlink>
        </w:p>
        <w:p w14:paraId="0F37F36D" w14:textId="7E2757D7" w:rsidR="003E7E24" w:rsidRDefault="00C05D8C">
          <w:pPr>
            <w:pStyle w:val="TOC1"/>
            <w:rPr>
              <w:rFonts w:asciiTheme="minorHAnsi" w:eastAsiaTheme="minorEastAsia" w:hAnsiTheme="minorHAnsi" w:cstheme="minorBidi"/>
              <w:b w:val="0"/>
              <w:sz w:val="22"/>
              <w:lang w:val="sv-SE"/>
            </w:rPr>
          </w:pPr>
          <w:hyperlink w:anchor="_Toc494381582" w:history="1">
            <w:r w:rsidR="003E7E24" w:rsidRPr="00701538">
              <w:rPr>
                <w:rStyle w:val="Hyperlink"/>
              </w:rPr>
              <w:t>Observation 2</w:t>
            </w:r>
            <w:r w:rsidR="003E7E24">
              <w:rPr>
                <w:rFonts w:asciiTheme="minorHAnsi" w:eastAsiaTheme="minorEastAsia" w:hAnsiTheme="minorHAnsi" w:cstheme="minorBidi"/>
                <w:b w:val="0"/>
                <w:sz w:val="22"/>
                <w:lang w:val="sv-SE"/>
              </w:rPr>
              <w:tab/>
            </w:r>
            <w:r w:rsidR="003E7E24" w:rsidRPr="00701538">
              <w:rPr>
                <w:rStyle w:val="Hyperlink"/>
              </w:rPr>
              <w:t>For every SSB there will be a configuration of numberOfRA-Preambles, sizeOfRA-PreamblesGroupA, messageSizeGroupA, preambles to indicate SI request and preambles reserved for dedicated purposes.</w:t>
            </w:r>
          </w:hyperlink>
        </w:p>
        <w:p w14:paraId="3228C642" w14:textId="4661C55F" w:rsidR="003E7E24" w:rsidRDefault="003E7E24" w:rsidP="003F076C">
          <w:pPr>
            <w:pStyle w:val="BodyText"/>
          </w:pPr>
          <w:r>
            <w:rPr>
              <w:b/>
            </w:rPr>
            <w:fldChar w:fldCharType="end"/>
          </w:r>
        </w:p>
      </w:sdtContent>
    </w:sdt>
    <w:p w14:paraId="5E3B19DC" w14:textId="66930B63" w:rsidR="00C85ACF" w:rsidRDefault="008E065E" w:rsidP="003F076C">
      <w:pPr>
        <w:pStyle w:val="BodyText"/>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F00C33">
        <w:t>2</w:t>
      </w:r>
      <w:r w:rsidRPr="00CE0424">
        <w:rPr>
          <w:highlight w:val="cyan"/>
        </w:rPr>
        <w:fldChar w:fldCharType="end"/>
      </w:r>
      <w:r w:rsidRPr="00CE0424">
        <w:t xml:space="preserve"> we propose the following:</w:t>
      </w:r>
    </w:p>
    <w:sdt>
      <w:sdtPr>
        <w:rPr>
          <w:b w:val="0"/>
          <w:noProof w:val="0"/>
          <w:szCs w:val="20"/>
          <w:lang w:val="en-GB"/>
        </w:rPr>
        <w:id w:val="-1344935334"/>
        <w:docPartObj>
          <w:docPartGallery w:val="Table of Contents"/>
          <w:docPartUnique/>
        </w:docPartObj>
      </w:sdtPr>
      <w:sdtEndPr>
        <w:rPr>
          <w:b/>
        </w:rPr>
      </w:sdtEndPr>
      <w:sdtContent>
        <w:p w14:paraId="245069C5" w14:textId="3E0B7097" w:rsidR="003E7E24" w:rsidRDefault="003E7E24">
          <w:pPr>
            <w:pStyle w:val="TOC1"/>
            <w:rPr>
              <w:rFonts w:asciiTheme="minorHAnsi" w:eastAsiaTheme="minorEastAsia" w:hAnsiTheme="minorHAnsi" w:cstheme="minorBidi"/>
              <w:b w:val="0"/>
              <w:sz w:val="22"/>
              <w:lang w:val="sv-SE"/>
            </w:rPr>
          </w:pPr>
          <w:r>
            <w:rPr>
              <w:b w:val="0"/>
              <w:noProof w:val="0"/>
              <w:szCs w:val="20"/>
              <w:lang w:val="en-GB"/>
            </w:rPr>
            <w:fldChar w:fldCharType="begin"/>
          </w:r>
          <w:r>
            <w:rPr>
              <w:b w:val="0"/>
              <w:noProof w:val="0"/>
              <w:szCs w:val="20"/>
              <w:lang w:val="en-GB"/>
            </w:rPr>
            <w:instrText xml:space="preserve"> TOC \n \h \z \t "Proposal;1" </w:instrText>
          </w:r>
          <w:r>
            <w:rPr>
              <w:b w:val="0"/>
              <w:noProof w:val="0"/>
              <w:szCs w:val="20"/>
              <w:lang w:val="en-GB"/>
            </w:rPr>
            <w:fldChar w:fldCharType="separate"/>
          </w:r>
          <w:hyperlink w:anchor="_Toc494381595" w:history="1">
            <w:r w:rsidRPr="00D502B8">
              <w:rPr>
                <w:rStyle w:val="Hyperlink"/>
              </w:rPr>
              <w:t>Proposal 1</w:t>
            </w:r>
            <w:r>
              <w:rPr>
                <w:rFonts w:asciiTheme="minorHAnsi" w:eastAsiaTheme="minorEastAsia" w:hAnsiTheme="minorHAnsi" w:cstheme="minorBidi"/>
                <w:b w:val="0"/>
                <w:sz w:val="22"/>
                <w:lang w:val="sv-SE"/>
              </w:rPr>
              <w:tab/>
            </w:r>
            <w:r w:rsidRPr="00D502B8">
              <w:rPr>
                <w:rStyle w:val="Hyperlink"/>
              </w:rPr>
              <w:t>The parameters numberOfRA-Preambles, sizeOfRA-PreamblesGroupA, messageSizeGroupA in LTE should be reused in NR.</w:t>
            </w:r>
          </w:hyperlink>
        </w:p>
        <w:p w14:paraId="3BF67B44" w14:textId="77777777" w:rsidR="003E7E24" w:rsidRDefault="00C05D8C">
          <w:pPr>
            <w:pStyle w:val="TOC1"/>
            <w:rPr>
              <w:rFonts w:asciiTheme="minorHAnsi" w:eastAsiaTheme="minorEastAsia" w:hAnsiTheme="minorHAnsi" w:cstheme="minorBidi"/>
              <w:b w:val="0"/>
              <w:sz w:val="22"/>
              <w:lang w:val="sv-SE"/>
            </w:rPr>
          </w:pPr>
          <w:hyperlink w:anchor="_Toc494381596" w:history="1">
            <w:r w:rsidR="003E7E24" w:rsidRPr="00D502B8">
              <w:rPr>
                <w:rStyle w:val="Hyperlink"/>
              </w:rPr>
              <w:t>Proposal 2</w:t>
            </w:r>
            <w:r w:rsidR="003E7E24">
              <w:rPr>
                <w:rFonts w:asciiTheme="minorHAnsi" w:eastAsiaTheme="minorEastAsia" w:hAnsiTheme="minorHAnsi" w:cstheme="minorBidi"/>
                <w:b w:val="0"/>
                <w:sz w:val="22"/>
                <w:lang w:val="sv-SE"/>
              </w:rPr>
              <w:tab/>
            </w:r>
            <w:r w:rsidR="003E7E24" w:rsidRPr="00D502B8">
              <w:rPr>
                <w:rStyle w:val="Hyperlink"/>
              </w:rPr>
              <w:t>The scheme to determine the random access preamble group in LTE should be reused in NR.</w:t>
            </w:r>
          </w:hyperlink>
        </w:p>
        <w:p w14:paraId="79E3AB3A" w14:textId="77777777" w:rsidR="003E7E24" w:rsidRDefault="00C05D8C">
          <w:pPr>
            <w:pStyle w:val="TOC1"/>
            <w:rPr>
              <w:rFonts w:asciiTheme="minorHAnsi" w:eastAsiaTheme="minorEastAsia" w:hAnsiTheme="minorHAnsi" w:cstheme="minorBidi"/>
              <w:b w:val="0"/>
              <w:sz w:val="22"/>
              <w:lang w:val="sv-SE"/>
            </w:rPr>
          </w:pPr>
          <w:hyperlink w:anchor="_Toc494381597" w:history="1">
            <w:r w:rsidR="003E7E24" w:rsidRPr="00D502B8">
              <w:rPr>
                <w:rStyle w:val="Hyperlink"/>
              </w:rPr>
              <w:t>Proposal 3</w:t>
            </w:r>
            <w:r w:rsidR="003E7E24">
              <w:rPr>
                <w:rFonts w:asciiTheme="minorHAnsi" w:eastAsiaTheme="minorEastAsia" w:hAnsiTheme="minorHAnsi" w:cstheme="minorBidi"/>
                <w:b w:val="0"/>
                <w:sz w:val="22"/>
                <w:lang w:val="sv-SE"/>
              </w:rPr>
              <w:tab/>
            </w:r>
            <w:r w:rsidR="003E7E24" w:rsidRPr="00D502B8">
              <w:rPr>
                <w:rStyle w:val="Hyperlink"/>
              </w:rPr>
              <w:t>The parameters numberOfRA-Preambles, sizeOfRA-PreamblesGroupA, messageSizeGroupA are conveyed via NR SIB1.</w:t>
            </w:r>
          </w:hyperlink>
        </w:p>
        <w:p w14:paraId="2E2CD3DF" w14:textId="77777777" w:rsidR="003E7E24" w:rsidRDefault="00C05D8C">
          <w:pPr>
            <w:pStyle w:val="TOC1"/>
            <w:rPr>
              <w:rFonts w:asciiTheme="minorHAnsi" w:eastAsiaTheme="minorEastAsia" w:hAnsiTheme="minorHAnsi" w:cstheme="minorBidi"/>
              <w:b w:val="0"/>
              <w:sz w:val="22"/>
              <w:lang w:val="sv-SE"/>
            </w:rPr>
          </w:pPr>
          <w:hyperlink w:anchor="_Toc494381598" w:history="1">
            <w:r w:rsidR="003E7E24" w:rsidRPr="00D502B8">
              <w:rPr>
                <w:rStyle w:val="Hyperlink"/>
              </w:rPr>
              <w:t>Proposal 4</w:t>
            </w:r>
            <w:r w:rsidR="003E7E24">
              <w:rPr>
                <w:rFonts w:asciiTheme="minorHAnsi" w:eastAsiaTheme="minorEastAsia" w:hAnsiTheme="minorHAnsi" w:cstheme="minorBidi"/>
                <w:b w:val="0"/>
                <w:sz w:val="22"/>
                <w:lang w:val="sv-SE"/>
              </w:rPr>
              <w:tab/>
            </w:r>
            <w:r w:rsidR="003E7E24" w:rsidRPr="00D502B8">
              <w:rPr>
                <w:rStyle w:val="Hyperlink"/>
              </w:rPr>
              <w:t>In case several SSBs are configured in a cell, the number of preambles per SSB shall be equal for all SSBs in the cell.</w:t>
            </w:r>
          </w:hyperlink>
        </w:p>
        <w:p w14:paraId="08C8D8F9" w14:textId="77777777" w:rsidR="003E7E24" w:rsidRDefault="00C05D8C">
          <w:pPr>
            <w:pStyle w:val="TOC1"/>
            <w:rPr>
              <w:rFonts w:asciiTheme="minorHAnsi" w:eastAsiaTheme="minorEastAsia" w:hAnsiTheme="minorHAnsi" w:cstheme="minorBidi"/>
              <w:b w:val="0"/>
              <w:sz w:val="22"/>
              <w:lang w:val="sv-SE"/>
            </w:rPr>
          </w:pPr>
          <w:hyperlink w:anchor="_Toc494381599" w:history="1">
            <w:r w:rsidR="003E7E24" w:rsidRPr="00D502B8">
              <w:rPr>
                <w:rStyle w:val="Hyperlink"/>
              </w:rPr>
              <w:t>Proposal 5</w:t>
            </w:r>
            <w:r w:rsidR="003E7E24">
              <w:rPr>
                <w:rFonts w:asciiTheme="minorHAnsi" w:eastAsiaTheme="minorEastAsia" w:hAnsiTheme="minorHAnsi" w:cstheme="minorBidi"/>
                <w:b w:val="0"/>
                <w:sz w:val="22"/>
                <w:lang w:val="sv-SE"/>
              </w:rPr>
              <w:tab/>
            </w:r>
            <w:r w:rsidR="003E7E24" w:rsidRPr="00D502B8">
              <w:rPr>
                <w:rStyle w:val="Hyperlink"/>
              </w:rPr>
              <w:t>In case several SSBs are configured in a cell, the parameters for preamble dimensions for all SSBs in the cell shall be identical, meaning that one common parameter set is used to identify the number and order of preambles for preambleGroupA, preambleGroupB, SI requests, and reserved preambles for dedicated purposes for all SSBs in the cell.</w:t>
            </w:r>
          </w:hyperlink>
        </w:p>
        <w:p w14:paraId="0C12F699" w14:textId="1C387C76" w:rsidR="003E7E24" w:rsidRDefault="003E7E24" w:rsidP="003F076C">
          <w:pPr>
            <w:pStyle w:val="BodyText"/>
          </w:pPr>
          <w:r>
            <w:rPr>
              <w:b/>
            </w:rPr>
            <w:fldChar w:fldCharType="end"/>
          </w:r>
        </w:p>
      </w:sdtContent>
    </w:sdt>
    <w:p w14:paraId="44B72C82" w14:textId="77777777" w:rsidR="00F507D1" w:rsidRPr="00CE0424" w:rsidRDefault="00F507D1" w:rsidP="003E7E24">
      <w:pPr>
        <w:pStyle w:val="Heading1"/>
      </w:pPr>
      <w:bookmarkStart w:id="28" w:name="_In-sequence_SDU_delivery"/>
      <w:bookmarkEnd w:id="28"/>
      <w:r w:rsidRPr="00CE0424">
        <w:t>References</w:t>
      </w:r>
    </w:p>
    <w:p w14:paraId="42334634" w14:textId="625C18AE" w:rsidR="005F3025" w:rsidRDefault="00F176F3" w:rsidP="00311702">
      <w:pPr>
        <w:pStyle w:val="Reference"/>
      </w:pPr>
      <w:bookmarkStart w:id="29" w:name="_Ref493163989"/>
      <w:bookmarkStart w:id="30" w:name="_Ref174151459"/>
      <w:bookmarkStart w:id="31" w:name="_Ref189809556"/>
      <w:r>
        <w:t>3GPP TS 38.321 v0.3.0</w:t>
      </w:r>
      <w:r w:rsidR="005F3025" w:rsidRPr="00CE0424">
        <w:t>,</w:t>
      </w:r>
      <w:r>
        <w:t xml:space="preserve"> Medium Access Control (MAC) protocol specification</w:t>
      </w:r>
      <w:bookmarkEnd w:id="29"/>
    </w:p>
    <w:p w14:paraId="022BC4AC" w14:textId="20EE3DF8" w:rsidR="00E15C28" w:rsidRDefault="00E15C28" w:rsidP="008D5045">
      <w:pPr>
        <w:pStyle w:val="Reference"/>
      </w:pPr>
      <w:r>
        <w:t>R2-1711443, "</w:t>
      </w:r>
      <w:r w:rsidR="008D5045">
        <w:t>Text proposal for Random Access</w:t>
      </w:r>
      <w:r>
        <w:t>"</w:t>
      </w:r>
      <w:r w:rsidR="008D5045">
        <w:t xml:space="preserve">, Ericsson, RAN2#99bis, </w:t>
      </w:r>
      <w:r w:rsidR="008D5045" w:rsidRPr="008D5045">
        <w:t>Prague, Czech Republic, 9th – 13th October 2017</w:t>
      </w:r>
    </w:p>
    <w:bookmarkEnd w:id="30"/>
    <w:bookmarkEnd w:id="31"/>
    <w:p w14:paraId="0DC5C614" w14:textId="77FA6616" w:rsidR="003A7EF3" w:rsidRPr="00CE0424" w:rsidRDefault="003A7EF3" w:rsidP="00CE0424">
      <w:pPr>
        <w:pStyle w:val="BodyText"/>
      </w:pPr>
    </w:p>
    <w:sectPr w:rsidR="003A7EF3" w:rsidRPr="00CE042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B43552" w14:textId="77777777" w:rsidR="00C05D8C" w:rsidRDefault="00C05D8C">
      <w:r>
        <w:separator/>
      </w:r>
    </w:p>
  </w:endnote>
  <w:endnote w:type="continuationSeparator" w:id="0">
    <w:p w14:paraId="7054A880" w14:textId="77777777" w:rsidR="00C05D8C" w:rsidRDefault="00C05D8C">
      <w:r>
        <w:continuationSeparator/>
      </w:r>
    </w:p>
  </w:endnote>
  <w:endnote w:type="continuationNotice" w:id="1">
    <w:p w14:paraId="47B942BA" w14:textId="77777777" w:rsidR="00C05D8C" w:rsidRDefault="00C05D8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48CF0C" w14:textId="77777777" w:rsidR="00C05D8C" w:rsidRDefault="00C05D8C">
      <w:r>
        <w:separator/>
      </w:r>
    </w:p>
  </w:footnote>
  <w:footnote w:type="continuationSeparator" w:id="0">
    <w:p w14:paraId="5C8A536B" w14:textId="77777777" w:rsidR="00C05D8C" w:rsidRDefault="00C05D8C">
      <w:r>
        <w:continuationSeparator/>
      </w:r>
    </w:p>
  </w:footnote>
  <w:footnote w:type="continuationNotice" w:id="1">
    <w:p w14:paraId="755BE288" w14:textId="77777777" w:rsidR="00C05D8C" w:rsidRDefault="00C05D8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9FEFE2E"/>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954056DC"/>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72942032"/>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B924313E"/>
    <w:lvl w:ilvl="0">
      <w:start w:val="1"/>
      <w:numFmt w:val="decimal"/>
      <w:pStyle w:val="Heading1"/>
      <w:lvlText w:val="%1"/>
      <w:lvlJc w:val="left"/>
      <w:pPr>
        <w:tabs>
          <w:tab w:val="num" w:pos="715"/>
        </w:tabs>
        <w:ind w:left="715"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5D14A4A"/>
    <w:multiLevelType w:val="hybridMultilevel"/>
    <w:tmpl w:val="8ED02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74291334"/>
    <w:multiLevelType w:val="hybridMultilevel"/>
    <w:tmpl w:val="B0760F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11"/>
  </w:num>
  <w:num w:numId="3">
    <w:abstractNumId w:val="8"/>
  </w:num>
  <w:num w:numId="4">
    <w:abstractNumId w:val="9"/>
  </w:num>
  <w:num w:numId="5">
    <w:abstractNumId w:val="6"/>
  </w:num>
  <w:num w:numId="6">
    <w:abstractNumId w:val="10"/>
  </w:num>
  <w:num w:numId="7">
    <w:abstractNumId w:val="13"/>
  </w:num>
  <w:num w:numId="8">
    <w:abstractNumId w:val="7"/>
  </w:num>
  <w:num w:numId="9">
    <w:abstractNumId w:val="5"/>
  </w:num>
  <w:num w:numId="10">
    <w:abstractNumId w:val="3"/>
  </w:num>
  <w:num w:numId="11">
    <w:abstractNumId w:val="2"/>
  </w:num>
  <w:num w:numId="12">
    <w:abstractNumId w:val="1"/>
  </w:num>
  <w:num w:numId="13">
    <w:abstractNumId w:val="12"/>
  </w:num>
  <w:num w:numId="14">
    <w:abstractNumId w:val="0"/>
  </w:num>
  <w:num w:numId="15">
    <w:abstractNumId w:val="15"/>
  </w:num>
  <w:num w:numId="16">
    <w:abstractNumId w:val="8"/>
  </w:num>
  <w:num w:numId="17">
    <w:abstractNumId w:val="16"/>
  </w:num>
  <w:num w:numId="18">
    <w:abstractNumId w:val="14"/>
  </w:num>
  <w:num w:numId="19">
    <w:abstractNumId w:val="1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NotDisplayPageBoundaries/>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2962"/>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2F81"/>
    <w:rsid w:val="000D42D5"/>
    <w:rsid w:val="000D4797"/>
    <w:rsid w:val="000D6357"/>
    <w:rsid w:val="000E0527"/>
    <w:rsid w:val="000E1E92"/>
    <w:rsid w:val="000F06D6"/>
    <w:rsid w:val="000F0EB1"/>
    <w:rsid w:val="000F1106"/>
    <w:rsid w:val="000F3BE9"/>
    <w:rsid w:val="000F3F6C"/>
    <w:rsid w:val="000F6DF3"/>
    <w:rsid w:val="001005FF"/>
    <w:rsid w:val="00102C2F"/>
    <w:rsid w:val="001062FB"/>
    <w:rsid w:val="001063E6"/>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4053F"/>
    <w:rsid w:val="00151E23"/>
    <w:rsid w:val="001526E0"/>
    <w:rsid w:val="001551B5"/>
    <w:rsid w:val="001659C1"/>
    <w:rsid w:val="00173A8E"/>
    <w:rsid w:val="00177795"/>
    <w:rsid w:val="0018143F"/>
    <w:rsid w:val="00190AC1"/>
    <w:rsid w:val="0019341A"/>
    <w:rsid w:val="00197DF9"/>
    <w:rsid w:val="001A1987"/>
    <w:rsid w:val="001A2564"/>
    <w:rsid w:val="001A6173"/>
    <w:rsid w:val="001A6CBA"/>
    <w:rsid w:val="001B0D97"/>
    <w:rsid w:val="001B5A5D"/>
    <w:rsid w:val="001C1CE5"/>
    <w:rsid w:val="001C3D2A"/>
    <w:rsid w:val="001C534A"/>
    <w:rsid w:val="001D51BA"/>
    <w:rsid w:val="001D6342"/>
    <w:rsid w:val="001D6D53"/>
    <w:rsid w:val="001E58E2"/>
    <w:rsid w:val="001E7AED"/>
    <w:rsid w:val="001F3916"/>
    <w:rsid w:val="001F54C5"/>
    <w:rsid w:val="001F662C"/>
    <w:rsid w:val="001F7074"/>
    <w:rsid w:val="00200490"/>
    <w:rsid w:val="00201F3A"/>
    <w:rsid w:val="00203D29"/>
    <w:rsid w:val="00203F96"/>
    <w:rsid w:val="002069B2"/>
    <w:rsid w:val="00207FA3"/>
    <w:rsid w:val="00214DA8"/>
    <w:rsid w:val="00215423"/>
    <w:rsid w:val="002158FA"/>
    <w:rsid w:val="00220600"/>
    <w:rsid w:val="002224DB"/>
    <w:rsid w:val="00223E0E"/>
    <w:rsid w:val="00223FCB"/>
    <w:rsid w:val="002252C3"/>
    <w:rsid w:val="00225C54"/>
    <w:rsid w:val="00230765"/>
    <w:rsid w:val="002319E4"/>
    <w:rsid w:val="00235632"/>
    <w:rsid w:val="00235872"/>
    <w:rsid w:val="00241559"/>
    <w:rsid w:val="002435B3"/>
    <w:rsid w:val="00243681"/>
    <w:rsid w:val="002458EB"/>
    <w:rsid w:val="002500C8"/>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1F86"/>
    <w:rsid w:val="0028280A"/>
    <w:rsid w:val="00286ACD"/>
    <w:rsid w:val="00287838"/>
    <w:rsid w:val="00287B14"/>
    <w:rsid w:val="002907B5"/>
    <w:rsid w:val="00292EB7"/>
    <w:rsid w:val="00296227"/>
    <w:rsid w:val="00296759"/>
    <w:rsid w:val="00296F44"/>
    <w:rsid w:val="0029777D"/>
    <w:rsid w:val="002A055E"/>
    <w:rsid w:val="002A1D4E"/>
    <w:rsid w:val="002A2869"/>
    <w:rsid w:val="002B24D6"/>
    <w:rsid w:val="002C41E6"/>
    <w:rsid w:val="002D071A"/>
    <w:rsid w:val="002D34B2"/>
    <w:rsid w:val="002D5A07"/>
    <w:rsid w:val="002D7637"/>
    <w:rsid w:val="002E17F2"/>
    <w:rsid w:val="002E7CAE"/>
    <w:rsid w:val="002F2771"/>
    <w:rsid w:val="002F37A9"/>
    <w:rsid w:val="00301CE6"/>
    <w:rsid w:val="0030256B"/>
    <w:rsid w:val="0030501F"/>
    <w:rsid w:val="00307220"/>
    <w:rsid w:val="00307BA1"/>
    <w:rsid w:val="003116A4"/>
    <w:rsid w:val="00311702"/>
    <w:rsid w:val="00311E82"/>
    <w:rsid w:val="00313FD6"/>
    <w:rsid w:val="003143BD"/>
    <w:rsid w:val="003203ED"/>
    <w:rsid w:val="00322C9F"/>
    <w:rsid w:val="00324D23"/>
    <w:rsid w:val="0032694B"/>
    <w:rsid w:val="00331751"/>
    <w:rsid w:val="00334579"/>
    <w:rsid w:val="00335858"/>
    <w:rsid w:val="00336BDA"/>
    <w:rsid w:val="00337D74"/>
    <w:rsid w:val="00342BD7"/>
    <w:rsid w:val="00343A07"/>
    <w:rsid w:val="00346DB5"/>
    <w:rsid w:val="003477B1"/>
    <w:rsid w:val="003523A5"/>
    <w:rsid w:val="0035491B"/>
    <w:rsid w:val="00357380"/>
    <w:rsid w:val="003602D9"/>
    <w:rsid w:val="003604CE"/>
    <w:rsid w:val="00363E5C"/>
    <w:rsid w:val="00370E47"/>
    <w:rsid w:val="003742AC"/>
    <w:rsid w:val="0037795F"/>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E15FA"/>
    <w:rsid w:val="003E55E4"/>
    <w:rsid w:val="003E74E3"/>
    <w:rsid w:val="003E7E24"/>
    <w:rsid w:val="003F05C7"/>
    <w:rsid w:val="003F076C"/>
    <w:rsid w:val="003F2CD4"/>
    <w:rsid w:val="003F6BBE"/>
    <w:rsid w:val="004000E8"/>
    <w:rsid w:val="00402E2B"/>
    <w:rsid w:val="0040512B"/>
    <w:rsid w:val="00405CA5"/>
    <w:rsid w:val="00407CD3"/>
    <w:rsid w:val="00410134"/>
    <w:rsid w:val="00410B72"/>
    <w:rsid w:val="00410F18"/>
    <w:rsid w:val="0041263E"/>
    <w:rsid w:val="00413AAC"/>
    <w:rsid w:val="00413BD1"/>
    <w:rsid w:val="00421105"/>
    <w:rsid w:val="004242F4"/>
    <w:rsid w:val="00427248"/>
    <w:rsid w:val="00433F81"/>
    <w:rsid w:val="00437447"/>
    <w:rsid w:val="00441A92"/>
    <w:rsid w:val="00444F56"/>
    <w:rsid w:val="00446488"/>
    <w:rsid w:val="004517AA"/>
    <w:rsid w:val="00452CAC"/>
    <w:rsid w:val="00454ED0"/>
    <w:rsid w:val="00457565"/>
    <w:rsid w:val="00457B71"/>
    <w:rsid w:val="004669E2"/>
    <w:rsid w:val="00470C31"/>
    <w:rsid w:val="004734D0"/>
    <w:rsid w:val="0047556B"/>
    <w:rsid w:val="00477768"/>
    <w:rsid w:val="00492BC5"/>
    <w:rsid w:val="004964F1"/>
    <w:rsid w:val="004A16BC"/>
    <w:rsid w:val="004A2B94"/>
    <w:rsid w:val="004A506B"/>
    <w:rsid w:val="004B7C0C"/>
    <w:rsid w:val="004C2DB9"/>
    <w:rsid w:val="004C3898"/>
    <w:rsid w:val="004D36B1"/>
    <w:rsid w:val="004D7EBD"/>
    <w:rsid w:val="004E2680"/>
    <w:rsid w:val="004E28F9"/>
    <w:rsid w:val="004E462E"/>
    <w:rsid w:val="004E56DC"/>
    <w:rsid w:val="004E5F5E"/>
    <w:rsid w:val="004E76F4"/>
    <w:rsid w:val="004F0B4E"/>
    <w:rsid w:val="004F0B6C"/>
    <w:rsid w:val="004F2078"/>
    <w:rsid w:val="004F4DA3"/>
    <w:rsid w:val="00506557"/>
    <w:rsid w:val="0050677A"/>
    <w:rsid w:val="005108D8"/>
    <w:rsid w:val="005116F9"/>
    <w:rsid w:val="005153A7"/>
    <w:rsid w:val="005219CF"/>
    <w:rsid w:val="005244E7"/>
    <w:rsid w:val="00534B59"/>
    <w:rsid w:val="00536759"/>
    <w:rsid w:val="00537C62"/>
    <w:rsid w:val="005417D7"/>
    <w:rsid w:val="00546970"/>
    <w:rsid w:val="00554E19"/>
    <w:rsid w:val="0056121F"/>
    <w:rsid w:val="00572505"/>
    <w:rsid w:val="00582809"/>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E385F"/>
    <w:rsid w:val="005E4101"/>
    <w:rsid w:val="005E5B81"/>
    <w:rsid w:val="005F2CB1"/>
    <w:rsid w:val="005F3025"/>
    <w:rsid w:val="005F618C"/>
    <w:rsid w:val="005F70BD"/>
    <w:rsid w:val="0060283C"/>
    <w:rsid w:val="00604F14"/>
    <w:rsid w:val="00611957"/>
    <w:rsid w:val="00611B83"/>
    <w:rsid w:val="00613257"/>
    <w:rsid w:val="00620A71"/>
    <w:rsid w:val="00620D80"/>
    <w:rsid w:val="006234A6"/>
    <w:rsid w:val="00630001"/>
    <w:rsid w:val="006311B3"/>
    <w:rsid w:val="00631CA0"/>
    <w:rsid w:val="0063284C"/>
    <w:rsid w:val="006352AA"/>
    <w:rsid w:val="00636398"/>
    <w:rsid w:val="006368D3"/>
    <w:rsid w:val="006377EC"/>
    <w:rsid w:val="0064151F"/>
    <w:rsid w:val="00641533"/>
    <w:rsid w:val="00641897"/>
    <w:rsid w:val="0064208D"/>
    <w:rsid w:val="00643475"/>
    <w:rsid w:val="0064396A"/>
    <w:rsid w:val="0064624E"/>
    <w:rsid w:val="00650AB9"/>
    <w:rsid w:val="00655733"/>
    <w:rsid w:val="00655ACD"/>
    <w:rsid w:val="00656A92"/>
    <w:rsid w:val="00656DDE"/>
    <w:rsid w:val="0066011D"/>
    <w:rsid w:val="006607C0"/>
    <w:rsid w:val="006613A6"/>
    <w:rsid w:val="00661D7B"/>
    <w:rsid w:val="006627A2"/>
    <w:rsid w:val="006634E6"/>
    <w:rsid w:val="006655EE"/>
    <w:rsid w:val="00665EE9"/>
    <w:rsid w:val="00667EE7"/>
    <w:rsid w:val="00670922"/>
    <w:rsid w:val="00670BE1"/>
    <w:rsid w:val="0067218F"/>
    <w:rsid w:val="006741F2"/>
    <w:rsid w:val="00674CC3"/>
    <w:rsid w:val="00674E6E"/>
    <w:rsid w:val="00675C72"/>
    <w:rsid w:val="006771F9"/>
    <w:rsid w:val="006776D7"/>
    <w:rsid w:val="00681003"/>
    <w:rsid w:val="006817C9"/>
    <w:rsid w:val="00683ECE"/>
    <w:rsid w:val="00695FC2"/>
    <w:rsid w:val="00696949"/>
    <w:rsid w:val="00697052"/>
    <w:rsid w:val="00697C90"/>
    <w:rsid w:val="006A46FB"/>
    <w:rsid w:val="006A5E28"/>
    <w:rsid w:val="006A697B"/>
    <w:rsid w:val="006A739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36C1"/>
    <w:rsid w:val="00704EDB"/>
    <w:rsid w:val="00706101"/>
    <w:rsid w:val="00707072"/>
    <w:rsid w:val="00707D61"/>
    <w:rsid w:val="00712287"/>
    <w:rsid w:val="00712772"/>
    <w:rsid w:val="007148D3"/>
    <w:rsid w:val="0071585D"/>
    <w:rsid w:val="00715B9A"/>
    <w:rsid w:val="007235BC"/>
    <w:rsid w:val="00724F98"/>
    <w:rsid w:val="00726EA6"/>
    <w:rsid w:val="00727208"/>
    <w:rsid w:val="00727680"/>
    <w:rsid w:val="0073003C"/>
    <w:rsid w:val="00733284"/>
    <w:rsid w:val="007348B1"/>
    <w:rsid w:val="007362A6"/>
    <w:rsid w:val="00736D7D"/>
    <w:rsid w:val="00740E58"/>
    <w:rsid w:val="007427EB"/>
    <w:rsid w:val="007445A0"/>
    <w:rsid w:val="0074524B"/>
    <w:rsid w:val="00747D8B"/>
    <w:rsid w:val="00751228"/>
    <w:rsid w:val="007571E1"/>
    <w:rsid w:val="007604B2"/>
    <w:rsid w:val="00763483"/>
    <w:rsid w:val="00765281"/>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466"/>
    <w:rsid w:val="007C34D3"/>
    <w:rsid w:val="007C3D18"/>
    <w:rsid w:val="007C60BF"/>
    <w:rsid w:val="007C6A07"/>
    <w:rsid w:val="007C75A1"/>
    <w:rsid w:val="007C77A5"/>
    <w:rsid w:val="007D04E5"/>
    <w:rsid w:val="007D0612"/>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CFB"/>
    <w:rsid w:val="00827D6F"/>
    <w:rsid w:val="008376AC"/>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266"/>
    <w:rsid w:val="008C4958"/>
    <w:rsid w:val="008C4BAA"/>
    <w:rsid w:val="008C6AE8"/>
    <w:rsid w:val="008C7573"/>
    <w:rsid w:val="008D34F1"/>
    <w:rsid w:val="008D39D8"/>
    <w:rsid w:val="008D5045"/>
    <w:rsid w:val="008D6D1A"/>
    <w:rsid w:val="008E065E"/>
    <w:rsid w:val="008E0927"/>
    <w:rsid w:val="008E1909"/>
    <w:rsid w:val="008F1EAB"/>
    <w:rsid w:val="008F33DC"/>
    <w:rsid w:val="008F477F"/>
    <w:rsid w:val="00901410"/>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0764"/>
    <w:rsid w:val="00941636"/>
    <w:rsid w:val="00943742"/>
    <w:rsid w:val="00945C05"/>
    <w:rsid w:val="00946945"/>
    <w:rsid w:val="00947713"/>
    <w:rsid w:val="00950DE7"/>
    <w:rsid w:val="00953920"/>
    <w:rsid w:val="00953D47"/>
    <w:rsid w:val="0095528A"/>
    <w:rsid w:val="0095681E"/>
    <w:rsid w:val="009572D4"/>
    <w:rsid w:val="00961921"/>
    <w:rsid w:val="0096430A"/>
    <w:rsid w:val="0096554B"/>
    <w:rsid w:val="0096584A"/>
    <w:rsid w:val="00971F08"/>
    <w:rsid w:val="0097603D"/>
    <w:rsid w:val="00976949"/>
    <w:rsid w:val="00980193"/>
    <w:rsid w:val="00980477"/>
    <w:rsid w:val="00985253"/>
    <w:rsid w:val="009853B3"/>
    <w:rsid w:val="00990630"/>
    <w:rsid w:val="00991761"/>
    <w:rsid w:val="00994DCA"/>
    <w:rsid w:val="009960EC"/>
    <w:rsid w:val="009970DD"/>
    <w:rsid w:val="009A0FBA"/>
    <w:rsid w:val="009A1601"/>
    <w:rsid w:val="009A462D"/>
    <w:rsid w:val="009A5328"/>
    <w:rsid w:val="009A5CBA"/>
    <w:rsid w:val="009A7CDB"/>
    <w:rsid w:val="009B1F30"/>
    <w:rsid w:val="009B3AC2"/>
    <w:rsid w:val="009B4DF4"/>
    <w:rsid w:val="009B564E"/>
    <w:rsid w:val="009B7E87"/>
    <w:rsid w:val="009C403E"/>
    <w:rsid w:val="009D2962"/>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0FC0"/>
    <w:rsid w:val="00A32E6A"/>
    <w:rsid w:val="00A3448A"/>
    <w:rsid w:val="00A36297"/>
    <w:rsid w:val="00A36B3F"/>
    <w:rsid w:val="00A41626"/>
    <w:rsid w:val="00A41E2B"/>
    <w:rsid w:val="00A45B74"/>
    <w:rsid w:val="00A469F7"/>
    <w:rsid w:val="00A52E1D"/>
    <w:rsid w:val="00A61499"/>
    <w:rsid w:val="00A62A77"/>
    <w:rsid w:val="00A63483"/>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A10"/>
    <w:rsid w:val="00AD0AA3"/>
    <w:rsid w:val="00AD3F94"/>
    <w:rsid w:val="00AD4A5A"/>
    <w:rsid w:val="00AE27AC"/>
    <w:rsid w:val="00AE3743"/>
    <w:rsid w:val="00AE40E0"/>
    <w:rsid w:val="00AE4DBA"/>
    <w:rsid w:val="00AE4F07"/>
    <w:rsid w:val="00AE74EE"/>
    <w:rsid w:val="00AF1C5D"/>
    <w:rsid w:val="00AF42D7"/>
    <w:rsid w:val="00B006FE"/>
    <w:rsid w:val="00B007CB"/>
    <w:rsid w:val="00B02AA9"/>
    <w:rsid w:val="00B02FA3"/>
    <w:rsid w:val="00B05084"/>
    <w:rsid w:val="00B066AB"/>
    <w:rsid w:val="00B157F9"/>
    <w:rsid w:val="00B20256"/>
    <w:rsid w:val="00B20D09"/>
    <w:rsid w:val="00B21E32"/>
    <w:rsid w:val="00B2763F"/>
    <w:rsid w:val="00B27AAC"/>
    <w:rsid w:val="00B30929"/>
    <w:rsid w:val="00B372AA"/>
    <w:rsid w:val="00B40445"/>
    <w:rsid w:val="00B41888"/>
    <w:rsid w:val="00B45A52"/>
    <w:rsid w:val="00B46175"/>
    <w:rsid w:val="00B6188F"/>
    <w:rsid w:val="00B664C7"/>
    <w:rsid w:val="00B739F6"/>
    <w:rsid w:val="00B81A6C"/>
    <w:rsid w:val="00B85DE5"/>
    <w:rsid w:val="00B90F73"/>
    <w:rsid w:val="00B93B59"/>
    <w:rsid w:val="00B9406A"/>
    <w:rsid w:val="00BA1712"/>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0FD"/>
    <w:rsid w:val="00BF3279"/>
    <w:rsid w:val="00BF74C7"/>
    <w:rsid w:val="00C015F1"/>
    <w:rsid w:val="00C01F33"/>
    <w:rsid w:val="00C02CC6"/>
    <w:rsid w:val="00C040F7"/>
    <w:rsid w:val="00C041B0"/>
    <w:rsid w:val="00C044AB"/>
    <w:rsid w:val="00C05706"/>
    <w:rsid w:val="00C05D8C"/>
    <w:rsid w:val="00C07377"/>
    <w:rsid w:val="00C10478"/>
    <w:rsid w:val="00C105BC"/>
    <w:rsid w:val="00C12107"/>
    <w:rsid w:val="00C14D4B"/>
    <w:rsid w:val="00C154BB"/>
    <w:rsid w:val="00C24345"/>
    <w:rsid w:val="00C279B5"/>
    <w:rsid w:val="00C27C45"/>
    <w:rsid w:val="00C3719D"/>
    <w:rsid w:val="00C54995"/>
    <w:rsid w:val="00C54D41"/>
    <w:rsid w:val="00C60783"/>
    <w:rsid w:val="00C64672"/>
    <w:rsid w:val="00C70697"/>
    <w:rsid w:val="00C706F9"/>
    <w:rsid w:val="00C72026"/>
    <w:rsid w:val="00C72EF4"/>
    <w:rsid w:val="00C75D2F"/>
    <w:rsid w:val="00C767BE"/>
    <w:rsid w:val="00C76E3C"/>
    <w:rsid w:val="00C81568"/>
    <w:rsid w:val="00C8165F"/>
    <w:rsid w:val="00C85ACF"/>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349B"/>
    <w:rsid w:val="00D03FB8"/>
    <w:rsid w:val="00D10249"/>
    <w:rsid w:val="00D115C3"/>
    <w:rsid w:val="00D11897"/>
    <w:rsid w:val="00D13135"/>
    <w:rsid w:val="00D13E4E"/>
    <w:rsid w:val="00D239A7"/>
    <w:rsid w:val="00D23F47"/>
    <w:rsid w:val="00D36E71"/>
    <w:rsid w:val="00D37D87"/>
    <w:rsid w:val="00D40B33"/>
    <w:rsid w:val="00D4318F"/>
    <w:rsid w:val="00D438BF"/>
    <w:rsid w:val="00D440F8"/>
    <w:rsid w:val="00D47E63"/>
    <w:rsid w:val="00D5032E"/>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936EC"/>
    <w:rsid w:val="00DA305E"/>
    <w:rsid w:val="00DA5417"/>
    <w:rsid w:val="00DA56E8"/>
    <w:rsid w:val="00DB0A9F"/>
    <w:rsid w:val="00DB377D"/>
    <w:rsid w:val="00DC2D36"/>
    <w:rsid w:val="00DC53EF"/>
    <w:rsid w:val="00DE0E92"/>
    <w:rsid w:val="00DE3DE4"/>
    <w:rsid w:val="00DE5608"/>
    <w:rsid w:val="00DE58D0"/>
    <w:rsid w:val="00DE654F"/>
    <w:rsid w:val="00DF0B6E"/>
    <w:rsid w:val="00DF15E0"/>
    <w:rsid w:val="00DF37A0"/>
    <w:rsid w:val="00E00FF2"/>
    <w:rsid w:val="00E110E7"/>
    <w:rsid w:val="00E11B20"/>
    <w:rsid w:val="00E15C28"/>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1F30"/>
    <w:rsid w:val="00E8234C"/>
    <w:rsid w:val="00E83AA9"/>
    <w:rsid w:val="00E85928"/>
    <w:rsid w:val="00E87822"/>
    <w:rsid w:val="00E90395"/>
    <w:rsid w:val="00E90E49"/>
    <w:rsid w:val="00E917F9"/>
    <w:rsid w:val="00E9291C"/>
    <w:rsid w:val="00E93FFE"/>
    <w:rsid w:val="00E94F8A"/>
    <w:rsid w:val="00EA2C64"/>
    <w:rsid w:val="00EA7A41"/>
    <w:rsid w:val="00EB077B"/>
    <w:rsid w:val="00EB4EA2"/>
    <w:rsid w:val="00EC27C6"/>
    <w:rsid w:val="00EC4207"/>
    <w:rsid w:val="00EC5384"/>
    <w:rsid w:val="00EC5653"/>
    <w:rsid w:val="00EC71CE"/>
    <w:rsid w:val="00ED1006"/>
    <w:rsid w:val="00EF18FE"/>
    <w:rsid w:val="00EF5787"/>
    <w:rsid w:val="00EF60D0"/>
    <w:rsid w:val="00F00C33"/>
    <w:rsid w:val="00F0528D"/>
    <w:rsid w:val="00F06C67"/>
    <w:rsid w:val="00F06DFD"/>
    <w:rsid w:val="00F071D1"/>
    <w:rsid w:val="00F07533"/>
    <w:rsid w:val="00F10629"/>
    <w:rsid w:val="00F13DDE"/>
    <w:rsid w:val="00F15FA5"/>
    <w:rsid w:val="00F176F3"/>
    <w:rsid w:val="00F209B7"/>
    <w:rsid w:val="00F2376F"/>
    <w:rsid w:val="00F243D8"/>
    <w:rsid w:val="00F30828"/>
    <w:rsid w:val="00F313D6"/>
    <w:rsid w:val="00F40F0C"/>
    <w:rsid w:val="00F4766C"/>
    <w:rsid w:val="00F507D1"/>
    <w:rsid w:val="00F519CE"/>
    <w:rsid w:val="00F51ADA"/>
    <w:rsid w:val="00F56098"/>
    <w:rsid w:val="00F607C5"/>
    <w:rsid w:val="00F60DEA"/>
    <w:rsid w:val="00F6302A"/>
    <w:rsid w:val="00F64C2B"/>
    <w:rsid w:val="00F651BE"/>
    <w:rsid w:val="00F67F53"/>
    <w:rsid w:val="00F703BE"/>
    <w:rsid w:val="00F71F69"/>
    <w:rsid w:val="00F72667"/>
    <w:rsid w:val="00F72B72"/>
    <w:rsid w:val="00F74BB9"/>
    <w:rsid w:val="00F75582"/>
    <w:rsid w:val="00F75FC0"/>
    <w:rsid w:val="00F76EFA"/>
    <w:rsid w:val="00F804BE"/>
    <w:rsid w:val="00F817CE"/>
    <w:rsid w:val="00F8456C"/>
    <w:rsid w:val="00F859D8"/>
    <w:rsid w:val="00F868F5"/>
    <w:rsid w:val="00F9056A"/>
    <w:rsid w:val="00F90F8D"/>
    <w:rsid w:val="00F92782"/>
    <w:rsid w:val="00F93AA9"/>
    <w:rsid w:val="00F96985"/>
    <w:rsid w:val="00F97838"/>
    <w:rsid w:val="00FA2BB3"/>
    <w:rsid w:val="00FB48B3"/>
    <w:rsid w:val="00FB4C80"/>
    <w:rsid w:val="00FB6A6A"/>
    <w:rsid w:val="00FC7429"/>
    <w:rsid w:val="00FD07F6"/>
    <w:rsid w:val="00FD1EC8"/>
    <w:rsid w:val="00FD47ED"/>
    <w:rsid w:val="00FD74DB"/>
    <w:rsid w:val="00FD7660"/>
    <w:rsid w:val="00FE0655"/>
    <w:rsid w:val="00FE2365"/>
    <w:rsid w:val="00FE4C7B"/>
    <w:rsid w:val="00FE7336"/>
    <w:rsid w:val="00FE787C"/>
    <w:rsid w:val="00FF1F07"/>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EAB9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80193"/>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3E7E24"/>
    <w:pPr>
      <w:keepNext/>
      <w:keepLines/>
      <w:numPr>
        <w:numId w:val="1"/>
      </w:numPr>
      <w:pBdr>
        <w:top w:val="single" w:sz="12" w:space="3" w:color="auto"/>
      </w:pBdr>
      <w:tabs>
        <w:tab w:val="clear" w:pos="715"/>
        <w:tab w:val="num" w:pos="567"/>
      </w:tabs>
      <w:overflowPunct w:val="0"/>
      <w:autoSpaceDE w:val="0"/>
      <w:autoSpaceDN w:val="0"/>
      <w:adjustRightInd w:val="0"/>
      <w:spacing w:before="240" w:after="180"/>
      <w:ind w:hanging="715"/>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980193"/>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980193"/>
    <w:pPr>
      <w:numPr>
        <w:ilvl w:val="2"/>
      </w:numPr>
      <w:spacing w:before="120"/>
      <w:outlineLvl w:val="2"/>
    </w:pPr>
    <w:rPr>
      <w:sz w:val="28"/>
      <w:szCs w:val="28"/>
    </w:rPr>
  </w:style>
  <w:style w:type="paragraph" w:styleId="Heading4">
    <w:name w:val="heading 4"/>
    <w:basedOn w:val="Heading3"/>
    <w:next w:val="Normal"/>
    <w:qFormat/>
    <w:rsid w:val="00980193"/>
    <w:pPr>
      <w:numPr>
        <w:ilvl w:val="3"/>
      </w:numPr>
      <w:outlineLvl w:val="3"/>
    </w:pPr>
    <w:rPr>
      <w:sz w:val="24"/>
      <w:szCs w:val="24"/>
    </w:rPr>
  </w:style>
  <w:style w:type="paragraph" w:styleId="Heading5">
    <w:name w:val="heading 5"/>
    <w:basedOn w:val="Heading4"/>
    <w:next w:val="Normal"/>
    <w:qFormat/>
    <w:rsid w:val="00980193"/>
    <w:pPr>
      <w:numPr>
        <w:ilvl w:val="4"/>
      </w:numPr>
      <w:outlineLvl w:val="4"/>
    </w:pPr>
    <w:rPr>
      <w:sz w:val="22"/>
      <w:szCs w:val="22"/>
    </w:rPr>
  </w:style>
  <w:style w:type="paragraph" w:styleId="Heading6">
    <w:name w:val="heading 6"/>
    <w:basedOn w:val="Normal"/>
    <w:next w:val="Normal"/>
    <w:qFormat/>
    <w:rsid w:val="00980193"/>
    <w:pPr>
      <w:keepNext/>
      <w:keepLines/>
      <w:numPr>
        <w:ilvl w:val="5"/>
        <w:numId w:val="1"/>
      </w:numPr>
      <w:spacing w:before="120"/>
      <w:outlineLvl w:val="5"/>
    </w:pPr>
    <w:rPr>
      <w:rFonts w:cs="Arial"/>
    </w:rPr>
  </w:style>
  <w:style w:type="paragraph" w:styleId="Heading7">
    <w:name w:val="heading 7"/>
    <w:basedOn w:val="Normal"/>
    <w:next w:val="Normal"/>
    <w:qFormat/>
    <w:rsid w:val="00980193"/>
    <w:pPr>
      <w:keepNext/>
      <w:keepLines/>
      <w:numPr>
        <w:ilvl w:val="6"/>
        <w:numId w:val="1"/>
      </w:numPr>
      <w:spacing w:before="120"/>
      <w:outlineLvl w:val="6"/>
    </w:pPr>
    <w:rPr>
      <w:rFonts w:cs="Arial"/>
    </w:rPr>
  </w:style>
  <w:style w:type="paragraph" w:styleId="Heading8">
    <w:name w:val="heading 8"/>
    <w:basedOn w:val="Heading7"/>
    <w:next w:val="Normal"/>
    <w:qFormat/>
    <w:rsid w:val="00980193"/>
    <w:pPr>
      <w:numPr>
        <w:ilvl w:val="7"/>
      </w:numPr>
      <w:outlineLvl w:val="7"/>
    </w:pPr>
  </w:style>
  <w:style w:type="paragraph" w:styleId="Heading9">
    <w:name w:val="heading 9"/>
    <w:basedOn w:val="Heading8"/>
    <w:next w:val="Normal"/>
    <w:qFormat/>
    <w:rsid w:val="0098019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80193"/>
    <w:pPr>
      <w:spacing w:before="180"/>
      <w:ind w:left="2693" w:hanging="2693"/>
    </w:pPr>
    <w:rPr>
      <w:b w:val="0"/>
      <w:bCs/>
    </w:rPr>
  </w:style>
  <w:style w:type="paragraph" w:styleId="TOC1">
    <w:name w:val="toc 1"/>
    <w:aliases w:val="Observation TOC2"/>
    <w:uiPriority w:val="39"/>
    <w:rsid w:val="00980193"/>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980193"/>
    <w:pPr>
      <w:keepNext/>
      <w:keepLines/>
      <w:spacing w:before="180"/>
      <w:jc w:val="center"/>
    </w:pPr>
  </w:style>
  <w:style w:type="paragraph" w:styleId="Caption">
    <w:name w:val="caption"/>
    <w:basedOn w:val="Normal"/>
    <w:next w:val="Normal"/>
    <w:qFormat/>
    <w:rsid w:val="00980193"/>
    <w:pPr>
      <w:spacing w:after="240"/>
      <w:jc w:val="center"/>
    </w:pPr>
    <w:rPr>
      <w:b/>
      <w:bCs/>
    </w:rPr>
  </w:style>
  <w:style w:type="paragraph" w:styleId="TOC5">
    <w:name w:val="toc 5"/>
    <w:aliases w:val="Observation TOC"/>
    <w:basedOn w:val="TOC4"/>
    <w:semiHidden/>
    <w:rsid w:val="00980193"/>
    <w:pPr>
      <w:tabs>
        <w:tab w:val="right" w:pos="1701"/>
      </w:tabs>
      <w:ind w:left="1701" w:hanging="1701"/>
    </w:pPr>
  </w:style>
  <w:style w:type="paragraph" w:styleId="TOC4">
    <w:name w:val="toc 4"/>
    <w:basedOn w:val="TOC3"/>
    <w:semiHidden/>
    <w:rsid w:val="00980193"/>
    <w:pPr>
      <w:ind w:left="1418" w:hanging="1418"/>
    </w:pPr>
  </w:style>
  <w:style w:type="paragraph" w:styleId="TOC3">
    <w:name w:val="toc 3"/>
    <w:basedOn w:val="TOC2"/>
    <w:semiHidden/>
    <w:rsid w:val="00980193"/>
    <w:pPr>
      <w:ind w:left="1134" w:hanging="1134"/>
    </w:pPr>
  </w:style>
  <w:style w:type="paragraph" w:styleId="TOC2">
    <w:name w:val="toc 2"/>
    <w:basedOn w:val="TOC1"/>
    <w:semiHidden/>
    <w:rsid w:val="00980193"/>
    <w:pPr>
      <w:keepNext w:val="0"/>
      <w:spacing w:before="0"/>
      <w:ind w:left="851" w:hanging="851"/>
    </w:pPr>
    <w:rPr>
      <w:szCs w:val="20"/>
    </w:rPr>
  </w:style>
  <w:style w:type="paragraph" w:styleId="Index2">
    <w:name w:val="index 2"/>
    <w:basedOn w:val="Index1"/>
    <w:semiHidden/>
    <w:rsid w:val="00980193"/>
    <w:pPr>
      <w:ind w:left="284"/>
    </w:pPr>
  </w:style>
  <w:style w:type="paragraph" w:styleId="Index1">
    <w:name w:val="index 1"/>
    <w:basedOn w:val="Normal"/>
    <w:semiHidden/>
    <w:rsid w:val="00980193"/>
    <w:pPr>
      <w:keepLines/>
      <w:spacing w:after="0"/>
    </w:pPr>
  </w:style>
  <w:style w:type="paragraph" w:styleId="DocumentMap">
    <w:name w:val="Document Map"/>
    <w:basedOn w:val="Normal"/>
    <w:semiHidden/>
    <w:rsid w:val="00980193"/>
    <w:pPr>
      <w:shd w:val="clear" w:color="auto" w:fill="000080"/>
    </w:pPr>
    <w:rPr>
      <w:rFonts w:ascii="Tahoma" w:hAnsi="Tahoma" w:cs="Tahoma"/>
    </w:rPr>
  </w:style>
  <w:style w:type="paragraph" w:styleId="ListNumber2">
    <w:name w:val="List Number 2"/>
    <w:basedOn w:val="ListNumber"/>
    <w:rsid w:val="00980193"/>
    <w:pPr>
      <w:ind w:left="851"/>
    </w:pPr>
  </w:style>
  <w:style w:type="paragraph" w:styleId="ListNumber">
    <w:name w:val="List Number"/>
    <w:basedOn w:val="List"/>
    <w:rsid w:val="00980193"/>
  </w:style>
  <w:style w:type="paragraph" w:styleId="List">
    <w:name w:val="List"/>
    <w:basedOn w:val="Normal"/>
    <w:rsid w:val="00980193"/>
    <w:pPr>
      <w:ind w:left="568" w:hanging="284"/>
    </w:pPr>
  </w:style>
  <w:style w:type="paragraph" w:styleId="Header">
    <w:name w:val="header"/>
    <w:rsid w:val="00980193"/>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980193"/>
    <w:rPr>
      <w:b/>
      <w:bCs/>
      <w:position w:val="6"/>
      <w:sz w:val="16"/>
      <w:szCs w:val="16"/>
    </w:rPr>
  </w:style>
  <w:style w:type="paragraph" w:styleId="FootnoteText">
    <w:name w:val="footnote text"/>
    <w:basedOn w:val="Normal"/>
    <w:semiHidden/>
    <w:rsid w:val="00980193"/>
    <w:pPr>
      <w:keepLines/>
      <w:spacing w:after="0"/>
      <w:ind w:left="454" w:hanging="454"/>
    </w:pPr>
    <w:rPr>
      <w:sz w:val="16"/>
      <w:szCs w:val="16"/>
    </w:rPr>
  </w:style>
  <w:style w:type="paragraph" w:customStyle="1" w:styleId="3GPPHeader">
    <w:name w:val="3GPP_Header"/>
    <w:basedOn w:val="Normal"/>
    <w:rsid w:val="00980193"/>
    <w:pPr>
      <w:tabs>
        <w:tab w:val="left" w:pos="1701"/>
        <w:tab w:val="right" w:pos="9639"/>
      </w:tabs>
      <w:spacing w:after="240"/>
    </w:pPr>
    <w:rPr>
      <w:b/>
      <w:sz w:val="24"/>
    </w:rPr>
  </w:style>
  <w:style w:type="paragraph" w:styleId="TOC9">
    <w:name w:val="toc 9"/>
    <w:basedOn w:val="TOC8"/>
    <w:semiHidden/>
    <w:rsid w:val="00980193"/>
    <w:pPr>
      <w:ind w:left="1418" w:hanging="1418"/>
    </w:pPr>
  </w:style>
  <w:style w:type="paragraph" w:styleId="TOC6">
    <w:name w:val="toc 6"/>
    <w:basedOn w:val="TOC5"/>
    <w:next w:val="Normal"/>
    <w:semiHidden/>
    <w:rsid w:val="00980193"/>
    <w:pPr>
      <w:ind w:left="1985" w:hanging="1985"/>
    </w:pPr>
  </w:style>
  <w:style w:type="paragraph" w:styleId="TOC7">
    <w:name w:val="toc 7"/>
    <w:basedOn w:val="TOC6"/>
    <w:next w:val="Normal"/>
    <w:semiHidden/>
    <w:rsid w:val="00980193"/>
    <w:pPr>
      <w:ind w:left="2268" w:hanging="2268"/>
    </w:pPr>
  </w:style>
  <w:style w:type="paragraph" w:styleId="ListBullet2">
    <w:name w:val="List Bullet 2"/>
    <w:basedOn w:val="ListBullet"/>
    <w:rsid w:val="00980193"/>
    <w:pPr>
      <w:numPr>
        <w:numId w:val="6"/>
      </w:numPr>
    </w:pPr>
  </w:style>
  <w:style w:type="paragraph" w:styleId="ListBullet">
    <w:name w:val="List Bullet"/>
    <w:basedOn w:val="BodyText"/>
    <w:rsid w:val="00980193"/>
    <w:pPr>
      <w:numPr>
        <w:numId w:val="5"/>
      </w:numPr>
    </w:pPr>
  </w:style>
  <w:style w:type="paragraph" w:styleId="ListBullet3">
    <w:name w:val="List Bullet 3"/>
    <w:basedOn w:val="ListBullet2"/>
    <w:rsid w:val="00980193"/>
    <w:pPr>
      <w:numPr>
        <w:numId w:val="7"/>
      </w:numPr>
    </w:pPr>
  </w:style>
  <w:style w:type="paragraph" w:customStyle="1" w:styleId="EQ">
    <w:name w:val="EQ"/>
    <w:basedOn w:val="Normal"/>
    <w:next w:val="Normal"/>
    <w:rsid w:val="00980193"/>
    <w:pPr>
      <w:keepLines/>
      <w:tabs>
        <w:tab w:val="center" w:pos="4536"/>
        <w:tab w:val="right" w:pos="9072"/>
      </w:tabs>
      <w:spacing w:after="180"/>
      <w:jc w:val="left"/>
    </w:pPr>
    <w:rPr>
      <w:noProof/>
      <w:lang w:eastAsia="en-US"/>
    </w:rPr>
  </w:style>
  <w:style w:type="paragraph" w:styleId="List2">
    <w:name w:val="List 2"/>
    <w:basedOn w:val="List"/>
    <w:rsid w:val="00980193"/>
    <w:pPr>
      <w:ind w:left="851"/>
    </w:pPr>
  </w:style>
  <w:style w:type="paragraph" w:styleId="List3">
    <w:name w:val="List 3"/>
    <w:basedOn w:val="List2"/>
    <w:rsid w:val="00980193"/>
    <w:pPr>
      <w:ind w:left="1135"/>
    </w:pPr>
  </w:style>
  <w:style w:type="paragraph" w:styleId="List4">
    <w:name w:val="List 4"/>
    <w:basedOn w:val="List3"/>
    <w:rsid w:val="00980193"/>
    <w:pPr>
      <w:ind w:left="1418"/>
    </w:pPr>
  </w:style>
  <w:style w:type="paragraph" w:styleId="List5">
    <w:name w:val="List 5"/>
    <w:basedOn w:val="List4"/>
    <w:rsid w:val="00980193"/>
    <w:pPr>
      <w:ind w:left="1702"/>
    </w:pPr>
  </w:style>
  <w:style w:type="paragraph" w:customStyle="1" w:styleId="EditorsNote">
    <w:name w:val="Editor's Note"/>
    <w:basedOn w:val="Normal"/>
    <w:rsid w:val="00980193"/>
    <w:pPr>
      <w:keepLines/>
      <w:spacing w:after="180"/>
      <w:ind w:left="1135" w:hanging="851"/>
      <w:jc w:val="left"/>
    </w:pPr>
    <w:rPr>
      <w:color w:val="FF0000"/>
      <w:lang w:eastAsia="en-US"/>
    </w:rPr>
  </w:style>
  <w:style w:type="paragraph" w:styleId="ListBullet4">
    <w:name w:val="List Bullet 4"/>
    <w:basedOn w:val="ListBullet3"/>
    <w:rsid w:val="00980193"/>
    <w:pPr>
      <w:numPr>
        <w:numId w:val="8"/>
      </w:numPr>
    </w:pPr>
  </w:style>
  <w:style w:type="paragraph" w:styleId="ListBullet5">
    <w:name w:val="List Bullet 5"/>
    <w:basedOn w:val="ListBullet4"/>
    <w:rsid w:val="00980193"/>
    <w:pPr>
      <w:numPr>
        <w:numId w:val="4"/>
      </w:numPr>
    </w:pPr>
  </w:style>
  <w:style w:type="paragraph" w:styleId="Footer">
    <w:name w:val="footer"/>
    <w:basedOn w:val="Header"/>
    <w:semiHidden/>
    <w:rsid w:val="00980193"/>
    <w:pPr>
      <w:jc w:val="center"/>
    </w:pPr>
    <w:rPr>
      <w:i/>
      <w:iCs/>
    </w:rPr>
  </w:style>
  <w:style w:type="paragraph" w:customStyle="1" w:styleId="Reference">
    <w:name w:val="Reference"/>
    <w:basedOn w:val="Normal"/>
    <w:rsid w:val="00980193"/>
    <w:pPr>
      <w:numPr>
        <w:numId w:val="2"/>
      </w:numPr>
    </w:pPr>
  </w:style>
  <w:style w:type="paragraph" w:styleId="BalloonText">
    <w:name w:val="Balloon Text"/>
    <w:basedOn w:val="Normal"/>
    <w:semiHidden/>
    <w:rsid w:val="00980193"/>
    <w:rPr>
      <w:rFonts w:ascii="Tahoma" w:hAnsi="Tahoma" w:cs="Tahoma"/>
      <w:sz w:val="16"/>
      <w:szCs w:val="16"/>
    </w:rPr>
  </w:style>
  <w:style w:type="character" w:styleId="PageNumber">
    <w:name w:val="page number"/>
    <w:basedOn w:val="DefaultParagraphFont"/>
    <w:semiHidden/>
    <w:rsid w:val="00980193"/>
  </w:style>
  <w:style w:type="paragraph" w:styleId="BodyText">
    <w:name w:val="Body Text"/>
    <w:basedOn w:val="Normal"/>
    <w:link w:val="BodyTextChar"/>
    <w:rsid w:val="00980193"/>
  </w:style>
  <w:style w:type="character" w:styleId="Hyperlink">
    <w:name w:val="Hyperlink"/>
    <w:uiPriority w:val="99"/>
    <w:rsid w:val="00980193"/>
    <w:rPr>
      <w:color w:val="0000FF"/>
      <w:u w:val="single"/>
      <w:lang w:val="en-GB"/>
    </w:rPr>
  </w:style>
  <w:style w:type="character" w:styleId="FollowedHyperlink">
    <w:name w:val="FollowedHyperlink"/>
    <w:semiHidden/>
    <w:rsid w:val="00980193"/>
    <w:rPr>
      <w:color w:val="FF0000"/>
      <w:u w:val="single"/>
    </w:rPr>
  </w:style>
  <w:style w:type="character" w:styleId="CommentReference">
    <w:name w:val="annotation reference"/>
    <w:semiHidden/>
    <w:rsid w:val="00980193"/>
    <w:rPr>
      <w:sz w:val="16"/>
      <w:szCs w:val="16"/>
    </w:rPr>
  </w:style>
  <w:style w:type="paragraph" w:styleId="CommentText">
    <w:name w:val="annotation text"/>
    <w:basedOn w:val="Normal"/>
    <w:semiHidden/>
    <w:rsid w:val="00980193"/>
  </w:style>
  <w:style w:type="paragraph" w:styleId="CommentSubject">
    <w:name w:val="annotation subject"/>
    <w:basedOn w:val="CommentText"/>
    <w:next w:val="CommentText"/>
    <w:semiHidden/>
    <w:rsid w:val="00980193"/>
    <w:rPr>
      <w:b/>
      <w:bCs/>
    </w:rPr>
  </w:style>
  <w:style w:type="character" w:customStyle="1" w:styleId="Heading1Char">
    <w:name w:val="Heading 1 Char"/>
    <w:link w:val="Heading1"/>
    <w:rsid w:val="003E7E24"/>
    <w:rPr>
      <w:rFonts w:ascii="Arial" w:hAnsi="Arial" w:cs="Arial"/>
      <w:sz w:val="36"/>
      <w:szCs w:val="36"/>
      <w:lang w:val="en-GB" w:eastAsia="zh-CN"/>
    </w:rPr>
  </w:style>
  <w:style w:type="paragraph" w:customStyle="1" w:styleId="B1">
    <w:name w:val="B1"/>
    <w:basedOn w:val="List"/>
    <w:link w:val="B1Char"/>
    <w:rsid w:val="00980193"/>
    <w:pPr>
      <w:spacing w:after="180"/>
      <w:jc w:val="left"/>
    </w:pPr>
    <w:rPr>
      <w:lang w:eastAsia="en-US"/>
    </w:rPr>
  </w:style>
  <w:style w:type="paragraph" w:customStyle="1" w:styleId="B2">
    <w:name w:val="B2"/>
    <w:basedOn w:val="List2"/>
    <w:rsid w:val="00980193"/>
    <w:pPr>
      <w:spacing w:after="180"/>
      <w:jc w:val="left"/>
    </w:pPr>
    <w:rPr>
      <w:lang w:eastAsia="en-US"/>
    </w:rPr>
  </w:style>
  <w:style w:type="paragraph" w:customStyle="1" w:styleId="B3">
    <w:name w:val="B3"/>
    <w:basedOn w:val="List3"/>
    <w:rsid w:val="00980193"/>
    <w:pPr>
      <w:spacing w:after="180"/>
      <w:jc w:val="left"/>
    </w:pPr>
    <w:rPr>
      <w:lang w:eastAsia="en-US"/>
    </w:rPr>
  </w:style>
  <w:style w:type="paragraph" w:customStyle="1" w:styleId="B4">
    <w:name w:val="B4"/>
    <w:basedOn w:val="List4"/>
    <w:rsid w:val="00980193"/>
    <w:pPr>
      <w:spacing w:after="180"/>
      <w:jc w:val="left"/>
    </w:pPr>
    <w:rPr>
      <w:lang w:eastAsia="en-US"/>
    </w:rPr>
  </w:style>
  <w:style w:type="paragraph" w:customStyle="1" w:styleId="Proposal">
    <w:name w:val="Proposal"/>
    <w:basedOn w:val="Normal"/>
    <w:rsid w:val="00980193"/>
    <w:pPr>
      <w:numPr>
        <w:numId w:val="3"/>
      </w:numPr>
      <w:tabs>
        <w:tab w:val="clear" w:pos="1304"/>
        <w:tab w:val="left" w:pos="1701"/>
      </w:tabs>
      <w:ind w:left="1701" w:hanging="1701"/>
    </w:pPr>
    <w:rPr>
      <w:b/>
      <w:bCs/>
    </w:rPr>
  </w:style>
  <w:style w:type="character" w:customStyle="1" w:styleId="BodyTextChar">
    <w:name w:val="Body Text Char"/>
    <w:link w:val="BodyText"/>
    <w:rsid w:val="00980193"/>
    <w:rPr>
      <w:rFonts w:ascii="Arial" w:hAnsi="Arial"/>
      <w:lang w:val="en-GB" w:eastAsia="zh-CN"/>
    </w:rPr>
  </w:style>
  <w:style w:type="paragraph" w:customStyle="1" w:styleId="B5">
    <w:name w:val="B5"/>
    <w:basedOn w:val="List5"/>
    <w:rsid w:val="00980193"/>
    <w:pPr>
      <w:spacing w:after="180"/>
      <w:jc w:val="left"/>
    </w:pPr>
    <w:rPr>
      <w:lang w:eastAsia="en-US"/>
    </w:rPr>
  </w:style>
  <w:style w:type="paragraph" w:customStyle="1" w:styleId="EX">
    <w:name w:val="EX"/>
    <w:basedOn w:val="Normal"/>
    <w:rsid w:val="00980193"/>
    <w:pPr>
      <w:keepLines/>
      <w:spacing w:after="180"/>
      <w:ind w:left="1702" w:hanging="1418"/>
      <w:jc w:val="left"/>
    </w:pPr>
    <w:rPr>
      <w:lang w:eastAsia="en-US"/>
    </w:rPr>
  </w:style>
  <w:style w:type="paragraph" w:customStyle="1" w:styleId="EW">
    <w:name w:val="EW"/>
    <w:basedOn w:val="EX"/>
    <w:rsid w:val="00980193"/>
    <w:pPr>
      <w:spacing w:after="0"/>
    </w:pPr>
  </w:style>
  <w:style w:type="paragraph" w:customStyle="1" w:styleId="TAL">
    <w:name w:val="TAL"/>
    <w:basedOn w:val="Normal"/>
    <w:rsid w:val="00980193"/>
    <w:pPr>
      <w:keepNext/>
      <w:keepLines/>
      <w:spacing w:after="0"/>
      <w:jc w:val="left"/>
    </w:pPr>
    <w:rPr>
      <w:sz w:val="18"/>
      <w:lang w:eastAsia="en-US"/>
    </w:rPr>
  </w:style>
  <w:style w:type="paragraph" w:customStyle="1" w:styleId="TAC">
    <w:name w:val="TAC"/>
    <w:basedOn w:val="TAL"/>
    <w:rsid w:val="00980193"/>
    <w:pPr>
      <w:jc w:val="center"/>
    </w:pPr>
  </w:style>
  <w:style w:type="paragraph" w:customStyle="1" w:styleId="TAH">
    <w:name w:val="TAH"/>
    <w:basedOn w:val="TAC"/>
    <w:rsid w:val="00980193"/>
    <w:rPr>
      <w:b/>
    </w:rPr>
  </w:style>
  <w:style w:type="paragraph" w:customStyle="1" w:styleId="TAN">
    <w:name w:val="TAN"/>
    <w:basedOn w:val="TAL"/>
    <w:rsid w:val="00980193"/>
    <w:pPr>
      <w:ind w:left="851" w:hanging="851"/>
    </w:pPr>
  </w:style>
  <w:style w:type="paragraph" w:customStyle="1" w:styleId="TAR">
    <w:name w:val="TAR"/>
    <w:basedOn w:val="TAL"/>
    <w:rsid w:val="00980193"/>
    <w:pPr>
      <w:jc w:val="right"/>
    </w:pPr>
  </w:style>
  <w:style w:type="paragraph" w:customStyle="1" w:styleId="TH">
    <w:name w:val="TH"/>
    <w:basedOn w:val="Normal"/>
    <w:rsid w:val="00980193"/>
    <w:pPr>
      <w:keepNext/>
      <w:keepLines/>
      <w:spacing w:before="60" w:after="180"/>
      <w:jc w:val="center"/>
    </w:pPr>
    <w:rPr>
      <w:b/>
      <w:lang w:eastAsia="en-US"/>
    </w:rPr>
  </w:style>
  <w:style w:type="paragraph" w:customStyle="1" w:styleId="TF">
    <w:name w:val="TF"/>
    <w:basedOn w:val="TH"/>
    <w:rsid w:val="00980193"/>
    <w:pPr>
      <w:keepNext w:val="0"/>
      <w:spacing w:before="0" w:after="240"/>
    </w:pPr>
  </w:style>
  <w:style w:type="paragraph" w:customStyle="1" w:styleId="TT">
    <w:name w:val="TT"/>
    <w:basedOn w:val="Heading1"/>
    <w:next w:val="Normal"/>
    <w:rsid w:val="00980193"/>
    <w:pPr>
      <w:numPr>
        <w:numId w:val="0"/>
      </w:numPr>
      <w:ind w:left="1134" w:hanging="1134"/>
      <w:outlineLvl w:val="9"/>
    </w:pPr>
    <w:rPr>
      <w:rFonts w:cs="Times New Roman"/>
      <w:szCs w:val="20"/>
      <w:lang w:eastAsia="en-US"/>
    </w:rPr>
  </w:style>
  <w:style w:type="paragraph" w:customStyle="1" w:styleId="ZA">
    <w:name w:val="ZA"/>
    <w:rsid w:val="009801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801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8019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98019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980193"/>
  </w:style>
  <w:style w:type="paragraph" w:customStyle="1" w:styleId="ZH">
    <w:name w:val="ZH"/>
    <w:rsid w:val="0098019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98019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980193"/>
    <w:pPr>
      <w:framePr w:hRule="auto" w:wrap="notBeside" w:y="852"/>
    </w:pPr>
    <w:rPr>
      <w:i w:val="0"/>
      <w:sz w:val="40"/>
    </w:rPr>
  </w:style>
  <w:style w:type="paragraph" w:customStyle="1" w:styleId="ZU">
    <w:name w:val="ZU"/>
    <w:rsid w:val="009801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80193"/>
    <w:pPr>
      <w:framePr w:wrap="notBeside" w:y="16161"/>
    </w:pPr>
  </w:style>
  <w:style w:type="paragraph" w:customStyle="1" w:styleId="FP">
    <w:name w:val="FP"/>
    <w:basedOn w:val="Normal"/>
    <w:rsid w:val="00980193"/>
    <w:pPr>
      <w:spacing w:after="0"/>
      <w:jc w:val="left"/>
    </w:pPr>
    <w:rPr>
      <w:lang w:eastAsia="en-US"/>
    </w:rPr>
  </w:style>
  <w:style w:type="paragraph" w:customStyle="1" w:styleId="Observation">
    <w:name w:val="Observation"/>
    <w:basedOn w:val="Proposal"/>
    <w:qFormat/>
    <w:rsid w:val="00980193"/>
    <w:pPr>
      <w:numPr>
        <w:numId w:val="13"/>
      </w:numPr>
      <w:ind w:left="1701" w:hanging="1701"/>
    </w:pPr>
  </w:style>
  <w:style w:type="paragraph" w:styleId="TableofFigures">
    <w:name w:val="table of figures"/>
    <w:basedOn w:val="Normal"/>
    <w:next w:val="Normal"/>
    <w:uiPriority w:val="99"/>
    <w:rsid w:val="00980193"/>
    <w:pPr>
      <w:ind w:left="1418" w:hanging="1418"/>
      <w:jc w:val="left"/>
    </w:pPr>
    <w:rPr>
      <w:b/>
    </w:rPr>
  </w:style>
  <w:style w:type="paragraph" w:customStyle="1" w:styleId="Doc-text2">
    <w:name w:val="Doc-text2"/>
    <w:basedOn w:val="Normal"/>
    <w:link w:val="Doc-text2Char"/>
    <w:qFormat/>
    <w:rsid w:val="0098019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980193"/>
    <w:rPr>
      <w:rFonts w:ascii="Arial" w:eastAsia="MS Mincho" w:hAnsi="Arial"/>
      <w:szCs w:val="24"/>
      <w:lang w:val="en-GB" w:eastAsia="en-GB"/>
    </w:rPr>
  </w:style>
  <w:style w:type="character" w:customStyle="1" w:styleId="B1Char">
    <w:name w:val="B1 Char"/>
    <w:basedOn w:val="DefaultParagraphFont"/>
    <w:link w:val="B1"/>
    <w:locked/>
    <w:rsid w:val="00763483"/>
    <w:rPr>
      <w:rFonts w:ascii="Arial" w:hAnsi="Arial"/>
      <w:lang w:val="en-GB"/>
    </w:rPr>
  </w:style>
  <w:style w:type="paragraph" w:customStyle="1" w:styleId="Guidance">
    <w:name w:val="Guidance"/>
    <w:basedOn w:val="Normal"/>
    <w:uiPriority w:val="99"/>
    <w:rsid w:val="00763483"/>
    <w:pPr>
      <w:overflowPunct/>
      <w:autoSpaceDE/>
      <w:autoSpaceDN/>
      <w:adjustRightInd/>
      <w:spacing w:after="180"/>
      <w:jc w:val="left"/>
      <w:textAlignment w:val="auto"/>
    </w:pPr>
    <w:rPr>
      <w:rFonts w:ascii="Times New Roman" w:eastAsiaTheme="minorEastAsia" w:hAnsi="Times New Roman"/>
      <w:i/>
      <w:iCs/>
      <w:color w:val="0000FF"/>
      <w:lang w:val="en-US"/>
    </w:rPr>
  </w:style>
  <w:style w:type="character" w:customStyle="1" w:styleId="PLChar">
    <w:name w:val="PL Char"/>
    <w:basedOn w:val="DefaultParagraphFont"/>
    <w:link w:val="PL"/>
    <w:locked/>
    <w:rsid w:val="00763483"/>
    <w:rPr>
      <w:rFonts w:ascii="Courier New" w:hAnsi="Courier New" w:cs="Courier New"/>
    </w:rPr>
  </w:style>
  <w:style w:type="paragraph" w:customStyle="1" w:styleId="PL">
    <w:name w:val="PL"/>
    <w:basedOn w:val="Normal"/>
    <w:link w:val="PLChar"/>
    <w:rsid w:val="00763483"/>
    <w:pPr>
      <w:adjustRightInd/>
      <w:spacing w:after="0"/>
      <w:jc w:val="left"/>
      <w:textAlignment w:val="auto"/>
    </w:pPr>
    <w:rPr>
      <w:rFonts w:ascii="Courier New" w:hAnsi="Courier New" w:cs="Courier New"/>
      <w:lang w:val="en-US" w:eastAsia="en-US"/>
    </w:rPr>
  </w:style>
  <w:style w:type="paragraph" w:styleId="Revision">
    <w:name w:val="Revision"/>
    <w:hidden/>
    <w:uiPriority w:val="99"/>
    <w:semiHidden/>
    <w:rsid w:val="00B066AB"/>
    <w:rPr>
      <w:rFonts w:ascii="Arial" w:hAnsi="Arial"/>
      <w:lang w:val="en-GB" w:eastAsia="zh-CN"/>
    </w:rPr>
  </w:style>
  <w:style w:type="paragraph" w:styleId="NoteHeading">
    <w:name w:val="Note Heading"/>
    <w:basedOn w:val="Normal"/>
    <w:next w:val="Normal"/>
    <w:link w:val="NoteHeadingChar"/>
    <w:rsid w:val="00E15C28"/>
    <w:pPr>
      <w:spacing w:after="0"/>
    </w:pPr>
  </w:style>
  <w:style w:type="character" w:customStyle="1" w:styleId="NoteHeadingChar">
    <w:name w:val="Note Heading Char"/>
    <w:basedOn w:val="DefaultParagraphFont"/>
    <w:link w:val="NoteHeading"/>
    <w:rsid w:val="00E15C28"/>
    <w:rPr>
      <w:rFonts w:ascii="Arial"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48660">
      <w:bodyDiv w:val="1"/>
      <w:marLeft w:val="0"/>
      <w:marRight w:val="0"/>
      <w:marTop w:val="0"/>
      <w:marBottom w:val="0"/>
      <w:divBdr>
        <w:top w:val="none" w:sz="0" w:space="0" w:color="auto"/>
        <w:left w:val="none" w:sz="0" w:space="0" w:color="auto"/>
        <w:bottom w:val="none" w:sz="0" w:space="0" w:color="auto"/>
        <w:right w:val="none" w:sz="0" w:space="0" w:color="auto"/>
      </w:divBdr>
    </w:div>
    <w:div w:id="278028986">
      <w:bodyDiv w:val="1"/>
      <w:marLeft w:val="0"/>
      <w:marRight w:val="0"/>
      <w:marTop w:val="0"/>
      <w:marBottom w:val="0"/>
      <w:divBdr>
        <w:top w:val="none" w:sz="0" w:space="0" w:color="auto"/>
        <w:left w:val="none" w:sz="0" w:space="0" w:color="auto"/>
        <w:bottom w:val="none" w:sz="0" w:space="0" w:color="auto"/>
        <w:right w:val="none" w:sz="0" w:space="0" w:color="auto"/>
      </w:divBdr>
    </w:div>
    <w:div w:id="587538309">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8627441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1330</Words>
  <Characters>7049</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2017-09-28T23:14:00Z</dcterms:created>
  <dcterms:modified xsi:type="dcterms:W3CDTF">2017-09-28T23:14:00Z</dcterms:modified>
</cp:coreProperties>
</file>